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51" w:rsidRDefault="00DC76FF" w:rsidP="00F17251">
      <w:pPr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701354">
        <w:rPr>
          <w:rFonts w:ascii="標楷體" w:eastAsia="標楷體" w:hAnsi="標楷體" w:hint="eastAsia"/>
          <w:b/>
          <w:sz w:val="28"/>
          <w:szCs w:val="28"/>
        </w:rPr>
        <w:t>徵詢</w:t>
      </w:r>
      <w:r w:rsidR="008908D6" w:rsidRPr="00701354">
        <w:rPr>
          <w:rFonts w:ascii="標楷體" w:eastAsia="標楷體" w:hAnsi="標楷體" w:hint="eastAsia"/>
          <w:b/>
          <w:sz w:val="28"/>
          <w:szCs w:val="28"/>
        </w:rPr>
        <w:t>香港</w:t>
      </w:r>
      <w:r w:rsidRPr="00701354">
        <w:rPr>
          <w:rFonts w:ascii="標楷體" w:eastAsia="標楷體" w:hAnsi="標楷體" w:hint="eastAsia"/>
          <w:b/>
          <w:sz w:val="28"/>
          <w:szCs w:val="28"/>
        </w:rPr>
        <w:t>檢測認證</w:t>
      </w:r>
      <w:r w:rsidR="001553FC" w:rsidRPr="00701354">
        <w:rPr>
          <w:rFonts w:ascii="標楷體" w:eastAsia="標楷體" w:hAnsi="標楷體" w:hint="eastAsia"/>
          <w:b/>
          <w:sz w:val="28"/>
          <w:szCs w:val="28"/>
        </w:rPr>
        <w:t>業</w:t>
      </w:r>
    </w:p>
    <w:p w:rsidR="00043160" w:rsidRPr="00701354" w:rsidRDefault="001553FC" w:rsidP="00F17251">
      <w:pPr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701354">
        <w:rPr>
          <w:rFonts w:ascii="標楷體" w:eastAsia="標楷體" w:hAnsi="標楷體" w:hint="eastAsia"/>
          <w:b/>
          <w:sz w:val="28"/>
          <w:szCs w:val="28"/>
        </w:rPr>
        <w:t>就粵港澳</w:t>
      </w:r>
      <w:r w:rsidR="008908D6" w:rsidRPr="00701354">
        <w:rPr>
          <w:rFonts w:ascii="標楷體" w:eastAsia="標楷體" w:hAnsi="標楷體" w:hint="eastAsia"/>
          <w:b/>
          <w:sz w:val="28"/>
          <w:szCs w:val="28"/>
        </w:rPr>
        <w:t>大灣區及</w:t>
      </w:r>
      <w:r w:rsidR="008908D6" w:rsidRPr="00701354">
        <w:rPr>
          <w:rFonts w:ascii="標楷體" w:eastAsia="標楷體" w:hAnsi="標楷體"/>
          <w:b/>
          <w:sz w:val="28"/>
          <w:szCs w:val="28"/>
        </w:rPr>
        <w:t>「一帶一路」</w:t>
      </w:r>
      <w:r w:rsidR="00E270DF" w:rsidRPr="00701354">
        <w:rPr>
          <w:rFonts w:ascii="標楷體" w:eastAsia="標楷體" w:hAnsi="標楷體" w:hint="eastAsia"/>
          <w:b/>
          <w:sz w:val="28"/>
          <w:szCs w:val="28"/>
        </w:rPr>
        <w:t>建設</w:t>
      </w:r>
      <w:r w:rsidR="008908D6" w:rsidRPr="00701354">
        <w:rPr>
          <w:rFonts w:ascii="標楷體" w:eastAsia="標楷體" w:hAnsi="標楷體"/>
          <w:b/>
          <w:sz w:val="28"/>
          <w:szCs w:val="28"/>
        </w:rPr>
        <w:t>發展機遇</w:t>
      </w:r>
      <w:r w:rsidR="00DC76FF" w:rsidRPr="00701354">
        <w:rPr>
          <w:rFonts w:ascii="標楷體" w:eastAsia="標楷體" w:hAnsi="標楷體" w:hint="eastAsia"/>
          <w:b/>
          <w:sz w:val="28"/>
          <w:szCs w:val="28"/>
        </w:rPr>
        <w:t>的意見</w:t>
      </w:r>
    </w:p>
    <w:p w:rsidR="00726A39" w:rsidRPr="00701354" w:rsidRDefault="00726A39" w:rsidP="00F17251">
      <w:pPr>
        <w:snapToGrid w:val="0"/>
        <w:contextualSpacing/>
        <w:jc w:val="both"/>
      </w:pPr>
    </w:p>
    <w:p w:rsidR="009C4C0E" w:rsidRPr="00701354" w:rsidRDefault="00F17251" w:rsidP="00F17251">
      <w:pPr>
        <w:tabs>
          <w:tab w:val="left" w:pos="709"/>
        </w:tabs>
        <w:snapToGrid w:val="0"/>
        <w:ind w:firstLine="48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321F2A" w:rsidRPr="00701354">
        <w:rPr>
          <w:rFonts w:ascii="標楷體" w:eastAsia="標楷體" w:hAnsi="標楷體" w:hint="eastAsia"/>
          <w:sz w:val="28"/>
          <w:szCs w:val="28"/>
        </w:rPr>
        <w:t>香港檢測和認證局致力推動香港檢測認證業的發展，</w:t>
      </w:r>
      <w:r w:rsidR="00E270DF" w:rsidRPr="00701354">
        <w:rPr>
          <w:rFonts w:ascii="標楷體" w:eastAsia="標楷體" w:hAnsi="標楷體" w:hint="eastAsia"/>
          <w:sz w:val="28"/>
          <w:szCs w:val="28"/>
        </w:rPr>
        <w:t>並</w:t>
      </w:r>
      <w:r w:rsidR="00321F2A" w:rsidRPr="00701354">
        <w:rPr>
          <w:rFonts w:ascii="標楷體" w:eastAsia="標楷體" w:hAnsi="標楷體" w:hint="eastAsia"/>
          <w:sz w:val="28"/>
          <w:szCs w:val="28"/>
        </w:rPr>
        <w:t>一直因應市場的最新動態，為業界開拓新機遇。</w:t>
      </w:r>
      <w:r w:rsidR="00434529" w:rsidRPr="00701354">
        <w:rPr>
          <w:rFonts w:ascii="標楷體" w:eastAsia="標楷體" w:hAnsi="標楷體" w:hint="eastAsia"/>
          <w:sz w:val="28"/>
          <w:szCs w:val="28"/>
        </w:rPr>
        <w:t>有見</w:t>
      </w:r>
      <w:r w:rsidR="000D4806" w:rsidRPr="00701354">
        <w:rPr>
          <w:rFonts w:ascii="標楷體" w:eastAsia="標楷體" w:hAnsi="標楷體" w:hint="eastAsia"/>
          <w:sz w:val="28"/>
          <w:szCs w:val="28"/>
        </w:rPr>
        <w:t>《內地與香港關於建立更密經貿關係的安排》(</w:t>
      </w:r>
      <w:r w:rsidR="00434529" w:rsidRPr="00701354">
        <w:rPr>
          <w:rFonts w:ascii="標楷體" w:eastAsia="標楷體" w:hAnsi="標楷體"/>
          <w:sz w:val="28"/>
          <w:szCs w:val="28"/>
        </w:rPr>
        <w:t>CEPA</w:t>
      </w:r>
      <w:r w:rsidR="000D4806" w:rsidRPr="00701354">
        <w:rPr>
          <w:rFonts w:ascii="標楷體" w:eastAsia="標楷體" w:hAnsi="標楷體"/>
          <w:sz w:val="28"/>
          <w:szCs w:val="28"/>
        </w:rPr>
        <w:t>)</w:t>
      </w:r>
      <w:r w:rsidR="007B3C92" w:rsidRPr="00701354">
        <w:rPr>
          <w:rFonts w:ascii="標楷體" w:eastAsia="標楷體" w:hAnsi="標楷體"/>
          <w:sz w:val="28"/>
          <w:szCs w:val="28"/>
        </w:rPr>
        <w:t>、</w:t>
      </w:r>
      <w:r w:rsidR="00E270DF" w:rsidRPr="00701354">
        <w:rPr>
          <w:rFonts w:ascii="標楷體" w:eastAsia="標楷體" w:hAnsi="標楷體" w:hint="eastAsia"/>
          <w:sz w:val="28"/>
          <w:szCs w:val="28"/>
        </w:rPr>
        <w:t>粵港澳</w:t>
      </w:r>
      <w:r w:rsidR="000D4806" w:rsidRPr="00701354">
        <w:rPr>
          <w:rFonts w:ascii="標楷體" w:eastAsia="標楷體" w:hAnsi="標楷體" w:hint="eastAsia"/>
          <w:sz w:val="28"/>
          <w:szCs w:val="28"/>
        </w:rPr>
        <w:t>大灣區及</w:t>
      </w:r>
      <w:r w:rsidR="007B3C92" w:rsidRPr="00701354">
        <w:rPr>
          <w:rFonts w:ascii="標楷體" w:eastAsia="標楷體" w:hAnsi="標楷體"/>
          <w:sz w:val="28"/>
          <w:szCs w:val="28"/>
        </w:rPr>
        <w:t>「一帶一路」</w:t>
      </w:r>
      <w:r w:rsidR="000D4806" w:rsidRPr="00701354">
        <w:rPr>
          <w:rFonts w:ascii="標楷體" w:eastAsia="標楷體" w:hAnsi="標楷體" w:hint="eastAsia"/>
          <w:sz w:val="28"/>
          <w:szCs w:val="28"/>
        </w:rPr>
        <w:t>建設</w:t>
      </w:r>
      <w:r w:rsidR="00434529" w:rsidRPr="00701354">
        <w:rPr>
          <w:rFonts w:ascii="標楷體" w:eastAsia="標楷體" w:hAnsi="標楷體" w:hint="eastAsia"/>
          <w:sz w:val="28"/>
          <w:szCs w:val="28"/>
        </w:rPr>
        <w:t>的最新發展，現誠邀</w:t>
      </w:r>
      <w:r w:rsidR="00434529" w:rsidRPr="00701354">
        <w:rPr>
          <w:rFonts w:ascii="標楷體" w:eastAsia="標楷體" w:hAnsi="標楷體"/>
          <w:sz w:val="28"/>
          <w:szCs w:val="28"/>
        </w:rPr>
        <w:t xml:space="preserve"> </w:t>
      </w:r>
      <w:r w:rsidR="00434529" w:rsidRPr="00701354">
        <w:rPr>
          <w:rFonts w:ascii="標楷體" w:eastAsia="標楷體" w:hAnsi="標楷體" w:hint="eastAsia"/>
          <w:sz w:val="28"/>
          <w:szCs w:val="28"/>
        </w:rPr>
        <w:t>貴機構就如何再進一步藉着這些平台，為香港業界開拓更多機遇，提出具體意見，以期讓秘書處透過合適渠道向內地有關當局反映</w:t>
      </w:r>
      <w:r w:rsidR="00F50BD1" w:rsidRPr="00701354">
        <w:rPr>
          <w:rFonts w:ascii="標楷體" w:eastAsia="標楷體" w:hAnsi="標楷體" w:hint="eastAsia"/>
          <w:sz w:val="28"/>
          <w:szCs w:val="28"/>
        </w:rPr>
        <w:t>，</w:t>
      </w:r>
      <w:r w:rsidR="00434529" w:rsidRPr="00701354">
        <w:rPr>
          <w:rFonts w:ascii="標楷體" w:eastAsia="標楷體" w:hAnsi="標楷體" w:hint="eastAsia"/>
          <w:sz w:val="28"/>
          <w:szCs w:val="28"/>
        </w:rPr>
        <w:t>和探求更多切合業界需要的發展機會。</w:t>
      </w:r>
    </w:p>
    <w:p w:rsidR="00043160" w:rsidRPr="00701354" w:rsidRDefault="00043160" w:rsidP="00F17251">
      <w:pPr>
        <w:snapToGrid w:val="0"/>
        <w:contextualSpacing/>
        <w:jc w:val="both"/>
      </w:pPr>
    </w:p>
    <w:p w:rsidR="00775735" w:rsidRPr="00701354" w:rsidRDefault="00775735" w:rsidP="00F17251">
      <w:pPr>
        <w:snapToGrid w:val="0"/>
        <w:contextualSpacing/>
        <w:jc w:val="both"/>
        <w:rPr>
          <w:rFonts w:ascii="標楷體" w:eastAsia="標楷體" w:hAnsi="標楷體"/>
          <w:b/>
          <w:sz w:val="28"/>
          <w:szCs w:val="28"/>
        </w:rPr>
      </w:pPr>
      <w:r w:rsidRPr="00701354">
        <w:rPr>
          <w:rFonts w:ascii="標楷體" w:eastAsia="標楷體" w:hAnsi="標楷體" w:hint="eastAsia"/>
          <w:b/>
          <w:sz w:val="28"/>
          <w:szCs w:val="28"/>
        </w:rPr>
        <w:t>最新發展</w:t>
      </w:r>
    </w:p>
    <w:p w:rsidR="00CC6EEE" w:rsidRPr="00701354" w:rsidRDefault="00F17251" w:rsidP="00F17251">
      <w:pPr>
        <w:tabs>
          <w:tab w:val="left" w:pos="709"/>
        </w:tabs>
        <w:snapToGrid w:val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ab/>
      </w:r>
      <w:r w:rsidR="00CC6EEE" w:rsidRPr="00701354">
        <w:rPr>
          <w:rFonts w:ascii="標楷體" w:eastAsia="標楷體" w:hAnsi="標楷體" w:hint="eastAsia"/>
          <w:sz w:val="28"/>
          <w:szCs w:val="28"/>
        </w:rPr>
        <w:t>以下為有關</w:t>
      </w:r>
      <w:r w:rsidR="00CC6EEE" w:rsidRPr="00701354">
        <w:rPr>
          <w:rFonts w:ascii="標楷體" w:eastAsia="標楷體" w:hAnsi="標楷體"/>
          <w:sz w:val="28"/>
          <w:szCs w:val="28"/>
        </w:rPr>
        <w:t>CEPA</w:t>
      </w:r>
      <w:r w:rsidR="002537C9" w:rsidRPr="00701354">
        <w:rPr>
          <w:rFonts w:ascii="標楷體" w:eastAsia="標楷體" w:hAnsi="標楷體"/>
          <w:sz w:val="28"/>
          <w:szCs w:val="28"/>
        </w:rPr>
        <w:t>、</w:t>
      </w:r>
      <w:r w:rsidR="00E270DF" w:rsidRPr="00701354">
        <w:rPr>
          <w:rFonts w:ascii="標楷體" w:eastAsia="標楷體" w:hAnsi="標楷體" w:hint="eastAsia"/>
          <w:sz w:val="28"/>
          <w:szCs w:val="28"/>
        </w:rPr>
        <w:t>粵港澳</w:t>
      </w:r>
      <w:r w:rsidR="00CC6EEE" w:rsidRPr="00701354">
        <w:rPr>
          <w:rFonts w:ascii="標楷體" w:eastAsia="標楷體" w:hAnsi="標楷體" w:hint="eastAsia"/>
          <w:sz w:val="28"/>
          <w:szCs w:val="28"/>
        </w:rPr>
        <w:t>大灣區及</w:t>
      </w:r>
      <w:r w:rsidR="00CC6EEE" w:rsidRPr="00701354">
        <w:rPr>
          <w:rFonts w:ascii="標楷體" w:eastAsia="標楷體" w:hAnsi="標楷體"/>
          <w:sz w:val="28"/>
          <w:szCs w:val="28"/>
        </w:rPr>
        <w:t>「一帶一路」</w:t>
      </w:r>
      <w:r w:rsidR="00CC6EEE" w:rsidRPr="00701354">
        <w:rPr>
          <w:rFonts w:ascii="標楷體" w:eastAsia="標楷體" w:hAnsi="標楷體" w:hint="eastAsia"/>
          <w:sz w:val="28"/>
          <w:szCs w:val="28"/>
        </w:rPr>
        <w:t>建設的最新發展。</w:t>
      </w:r>
    </w:p>
    <w:p w:rsidR="00726A39" w:rsidRPr="00701354" w:rsidRDefault="00726A39" w:rsidP="00F17251">
      <w:pPr>
        <w:snapToGrid w:val="0"/>
        <w:contextualSpacing/>
        <w:jc w:val="both"/>
      </w:pPr>
    </w:p>
    <w:p w:rsidR="00701354" w:rsidRPr="005E355D" w:rsidRDefault="00434529" w:rsidP="00F17251">
      <w:pPr>
        <w:pStyle w:val="a3"/>
        <w:numPr>
          <w:ilvl w:val="0"/>
          <w:numId w:val="6"/>
        </w:numPr>
        <w:snapToGrid w:val="0"/>
        <w:ind w:leftChars="0" w:left="1276"/>
        <w:contextualSpacing/>
        <w:jc w:val="both"/>
        <w:rPr>
          <w:rFonts w:ascii="標楷體" w:eastAsia="標楷體" w:hAnsi="標楷體"/>
          <w:b/>
          <w:sz w:val="28"/>
          <w:szCs w:val="28"/>
        </w:rPr>
      </w:pPr>
      <w:r w:rsidRPr="005E355D">
        <w:rPr>
          <w:rFonts w:ascii="標楷體" w:eastAsia="標楷體" w:hAnsi="標楷體"/>
          <w:b/>
          <w:sz w:val="28"/>
          <w:szCs w:val="28"/>
        </w:rPr>
        <w:t>CEPA</w:t>
      </w:r>
    </w:p>
    <w:p w:rsidR="00701354" w:rsidRPr="00701354" w:rsidRDefault="000D4806" w:rsidP="00F17251">
      <w:pPr>
        <w:pStyle w:val="a3"/>
        <w:snapToGrid w:val="0"/>
        <w:ind w:leftChars="0" w:left="1276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701354">
        <w:rPr>
          <w:rFonts w:ascii="標楷體" w:eastAsia="標楷體" w:hAnsi="標楷體" w:cs="Times New Roman"/>
          <w:sz w:val="28"/>
          <w:szCs w:val="28"/>
        </w:rPr>
        <w:t>內地與香港於2019年11月修訂</w:t>
      </w:r>
      <w:r w:rsidR="00431FB0" w:rsidRPr="00701354">
        <w:rPr>
          <w:rFonts w:ascii="標楷體" w:eastAsia="標楷體" w:hAnsi="標楷體" w:cs="Times New Roman"/>
          <w:sz w:val="28"/>
          <w:szCs w:val="28"/>
        </w:rPr>
        <w:t>了</w:t>
      </w:r>
      <w:r w:rsidRPr="00701354">
        <w:rPr>
          <w:rFonts w:ascii="標楷體" w:eastAsia="標楷體" w:hAnsi="標楷體" w:cs="Times New Roman"/>
          <w:sz w:val="28"/>
          <w:szCs w:val="28"/>
        </w:rPr>
        <w:t>CEPA《服務貿易協議》，</w:t>
      </w:r>
      <w:r w:rsidR="00431FB0" w:rsidRPr="00701354">
        <w:rPr>
          <w:rFonts w:ascii="標楷體" w:eastAsia="標楷體" w:hAnsi="標楷體" w:cs="Times New Roman"/>
          <w:sz w:val="28"/>
          <w:szCs w:val="28"/>
        </w:rPr>
        <w:t>就檢測認證業的新訂開放</w:t>
      </w:r>
      <w:r w:rsidR="003C0610" w:rsidRPr="00701354">
        <w:rPr>
          <w:rFonts w:ascii="標楷體" w:eastAsia="標楷體" w:hAnsi="標楷體" w:cs="Times New Roman"/>
          <w:sz w:val="28"/>
          <w:szCs w:val="28"/>
        </w:rPr>
        <w:t>措施已於2020年6月1日起實施，</w:t>
      </w:r>
      <w:r w:rsidR="00431FB0" w:rsidRPr="00701354">
        <w:rPr>
          <w:rFonts w:ascii="標楷體" w:eastAsia="標楷體" w:hAnsi="標楷體" w:cs="Times New Roman"/>
          <w:sz w:val="28"/>
          <w:szCs w:val="28"/>
        </w:rPr>
        <w:t>包括</w:t>
      </w:r>
      <w:r w:rsidR="003C0610" w:rsidRPr="00701354">
        <w:rPr>
          <w:rFonts w:ascii="標楷體" w:eastAsia="標楷體" w:hAnsi="標楷體" w:cs="Times New Roman"/>
          <w:sz w:val="28"/>
          <w:szCs w:val="28"/>
        </w:rPr>
        <w:t>:</w:t>
      </w:r>
    </w:p>
    <w:p w:rsidR="00701354" w:rsidRDefault="00701354" w:rsidP="00F17251">
      <w:pPr>
        <w:pStyle w:val="a3"/>
        <w:snapToGrid w:val="0"/>
        <w:ind w:leftChars="0"/>
        <w:contextualSpacing/>
        <w:jc w:val="both"/>
        <w:rPr>
          <w:rFonts w:asciiTheme="majorEastAsia" w:eastAsiaTheme="majorEastAsia" w:hAnsiTheme="majorEastAsia"/>
          <w:szCs w:val="24"/>
        </w:rPr>
      </w:pPr>
    </w:p>
    <w:p w:rsidR="00701354" w:rsidRPr="00701354" w:rsidRDefault="00431FB0" w:rsidP="00F17251">
      <w:pPr>
        <w:pStyle w:val="a3"/>
        <w:numPr>
          <w:ilvl w:val="0"/>
          <w:numId w:val="7"/>
        </w:numPr>
        <w:snapToGrid w:val="0"/>
        <w:ind w:leftChars="0" w:left="1843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01354">
        <w:rPr>
          <w:rFonts w:ascii="標楷體" w:eastAsia="標楷體" w:hAnsi="標楷體"/>
          <w:sz w:val="28"/>
          <w:szCs w:val="28"/>
        </w:rPr>
        <w:t>符合條件的香港檢測機構可與內地指定機構</w:t>
      </w:r>
      <w:r w:rsidR="000D4806" w:rsidRPr="00701354">
        <w:rPr>
          <w:rFonts w:ascii="標楷體" w:eastAsia="標楷體" w:hAnsi="標楷體"/>
          <w:sz w:val="28"/>
          <w:szCs w:val="28"/>
        </w:rPr>
        <w:t>合作，</w:t>
      </w:r>
      <w:r w:rsidR="000D4806" w:rsidRPr="00701354">
        <w:rPr>
          <w:rFonts w:ascii="標楷體" w:eastAsia="標楷體" w:hAnsi="標楷體" w:hint="eastAsia"/>
          <w:sz w:val="28"/>
          <w:szCs w:val="28"/>
        </w:rPr>
        <w:t>承擔</w:t>
      </w:r>
      <w:r w:rsidR="000D4806" w:rsidRPr="00701354">
        <w:rPr>
          <w:rFonts w:ascii="標楷體" w:eastAsia="標楷體" w:hAnsi="標楷體"/>
          <w:sz w:val="28"/>
          <w:szCs w:val="28"/>
        </w:rPr>
        <w:t>任何地區（包括中國以外）加工或生產的</w:t>
      </w:r>
      <w:r w:rsidRPr="00701354">
        <w:rPr>
          <w:rFonts w:ascii="標楷體" w:eastAsia="標楷體" w:hAnsi="標楷體" w:hint="eastAsia"/>
          <w:sz w:val="28"/>
          <w:szCs w:val="28"/>
        </w:rPr>
        <w:t>中國強制性產品認證(</w:t>
      </w:r>
      <w:r w:rsidR="000D4806" w:rsidRPr="00701354">
        <w:rPr>
          <w:rFonts w:ascii="標楷體" w:eastAsia="標楷體" w:hAnsi="標楷體"/>
          <w:sz w:val="28"/>
          <w:szCs w:val="28"/>
        </w:rPr>
        <w:t>CCC</w:t>
      </w:r>
      <w:r w:rsidRPr="00701354">
        <w:rPr>
          <w:rFonts w:ascii="標楷體" w:eastAsia="標楷體" w:hAnsi="標楷體" w:hint="eastAsia"/>
          <w:sz w:val="28"/>
          <w:szCs w:val="28"/>
        </w:rPr>
        <w:t>)</w:t>
      </w:r>
      <w:r w:rsidR="000D4806" w:rsidRPr="00701354">
        <w:rPr>
          <w:rFonts w:ascii="標楷體" w:eastAsia="標楷體" w:hAnsi="標楷體"/>
          <w:sz w:val="28"/>
          <w:szCs w:val="28"/>
        </w:rPr>
        <w:t>產品</w:t>
      </w:r>
      <w:r w:rsidR="000D4806" w:rsidRPr="00701354">
        <w:rPr>
          <w:rFonts w:ascii="標楷體" w:eastAsia="標楷體" w:hAnsi="標楷體" w:hint="eastAsia"/>
          <w:sz w:val="28"/>
          <w:szCs w:val="28"/>
        </w:rPr>
        <w:t>的檢測工作</w:t>
      </w:r>
      <w:r w:rsidRPr="00701354">
        <w:rPr>
          <w:rFonts w:ascii="標楷體" w:eastAsia="標楷體" w:hAnsi="標楷體" w:hint="eastAsia"/>
          <w:sz w:val="28"/>
          <w:szCs w:val="28"/>
        </w:rPr>
        <w:t>;</w:t>
      </w:r>
    </w:p>
    <w:p w:rsidR="00701354" w:rsidRPr="00701354" w:rsidRDefault="000D4806" w:rsidP="00F17251">
      <w:pPr>
        <w:pStyle w:val="a3"/>
        <w:numPr>
          <w:ilvl w:val="0"/>
          <w:numId w:val="7"/>
        </w:numPr>
        <w:snapToGrid w:val="0"/>
        <w:ind w:leftChars="0" w:left="1843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01354">
        <w:rPr>
          <w:rFonts w:ascii="標楷體" w:eastAsia="標楷體" w:hAnsi="標楷體"/>
          <w:sz w:val="28"/>
          <w:szCs w:val="28"/>
        </w:rPr>
        <w:t>符合條件的香港認證機構可</w:t>
      </w:r>
      <w:r w:rsidR="00431FB0" w:rsidRPr="00701354">
        <w:rPr>
          <w:rFonts w:ascii="標楷體" w:eastAsia="標楷體" w:hAnsi="標楷體" w:hint="eastAsia"/>
          <w:sz w:val="28"/>
          <w:szCs w:val="28"/>
        </w:rPr>
        <w:t>與內地指定</w:t>
      </w:r>
      <w:r w:rsidRPr="00701354">
        <w:rPr>
          <w:rFonts w:ascii="標楷體" w:eastAsia="標楷體" w:hAnsi="標楷體" w:hint="eastAsia"/>
          <w:sz w:val="28"/>
          <w:szCs w:val="28"/>
        </w:rPr>
        <w:t>機構就 CCC 工廠檢查開展委託合作，委派檢查員對在內地全境內的 CCC產品生產廠家進行CCC工廠檢查</w:t>
      </w:r>
      <w:r w:rsidR="00431FB0" w:rsidRPr="00701354">
        <w:rPr>
          <w:rFonts w:ascii="標楷體" w:eastAsia="標楷體" w:hAnsi="標楷體" w:hint="eastAsia"/>
          <w:sz w:val="28"/>
          <w:szCs w:val="28"/>
        </w:rPr>
        <w:t>;</w:t>
      </w:r>
    </w:p>
    <w:p w:rsidR="00701354" w:rsidRPr="004B16D3" w:rsidRDefault="000D4806" w:rsidP="00F17251">
      <w:pPr>
        <w:pStyle w:val="a3"/>
        <w:numPr>
          <w:ilvl w:val="0"/>
          <w:numId w:val="7"/>
        </w:numPr>
        <w:snapToGrid w:val="0"/>
        <w:ind w:leftChars="0" w:left="1843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4B16D3">
        <w:rPr>
          <w:rFonts w:ascii="標楷體" w:eastAsia="標楷體" w:hAnsi="標楷體"/>
          <w:sz w:val="28"/>
          <w:szCs w:val="28"/>
        </w:rPr>
        <w:t>符合條件的香港檢測機構</w:t>
      </w:r>
      <w:r w:rsidRPr="004B16D3">
        <w:rPr>
          <w:rFonts w:ascii="標楷體" w:eastAsia="標楷體" w:hAnsi="標楷體" w:hint="eastAsia"/>
          <w:sz w:val="28"/>
          <w:szCs w:val="28"/>
        </w:rPr>
        <w:t>也可承擔新增</w:t>
      </w:r>
      <w:r w:rsidR="00431FB0" w:rsidRPr="004B16D3">
        <w:rPr>
          <w:rFonts w:ascii="標楷體" w:eastAsia="標楷體" w:hAnsi="標楷體" w:hint="eastAsia"/>
          <w:sz w:val="28"/>
          <w:szCs w:val="28"/>
        </w:rPr>
        <w:t>CC</w:t>
      </w:r>
      <w:r w:rsidR="00431FB0" w:rsidRPr="004B16D3">
        <w:rPr>
          <w:rFonts w:ascii="標楷體" w:eastAsia="標楷體" w:hAnsi="標楷體"/>
          <w:sz w:val="28"/>
          <w:szCs w:val="28"/>
        </w:rPr>
        <w:t>C</w:t>
      </w:r>
      <w:r w:rsidRPr="004B16D3">
        <w:rPr>
          <w:rFonts w:ascii="標楷體" w:eastAsia="標楷體" w:hAnsi="標楷體" w:hint="eastAsia"/>
          <w:sz w:val="28"/>
          <w:szCs w:val="28"/>
        </w:rPr>
        <w:t>任務，即</w:t>
      </w:r>
      <w:r w:rsidR="00CC6EEE" w:rsidRPr="004B16D3">
        <w:rPr>
          <w:rFonts w:ascii="標楷體" w:eastAsia="標楷體" w:hAnsi="標楷體" w:hint="eastAsia"/>
          <w:sz w:val="28"/>
          <w:szCs w:val="28"/>
        </w:rPr>
        <w:t>內地全境內獲證後於工廠選取測試樣本</w:t>
      </w:r>
      <w:r w:rsidR="00F54AA6" w:rsidRPr="004B16D3">
        <w:rPr>
          <w:rFonts w:ascii="標楷體" w:eastAsia="標楷體" w:hAnsi="標楷體" w:hint="eastAsia"/>
          <w:sz w:val="28"/>
          <w:szCs w:val="28"/>
        </w:rPr>
        <w:t>。</w:t>
      </w:r>
    </w:p>
    <w:p w:rsidR="00701354" w:rsidRDefault="00701354" w:rsidP="00F17251">
      <w:pPr>
        <w:snapToGrid w:val="0"/>
        <w:ind w:left="480"/>
        <w:contextualSpacing/>
        <w:jc w:val="both"/>
        <w:rPr>
          <w:rFonts w:asciiTheme="minorEastAsia" w:hAnsiTheme="minorEastAsia"/>
          <w:b/>
          <w:szCs w:val="24"/>
        </w:rPr>
      </w:pPr>
    </w:p>
    <w:p w:rsidR="00701354" w:rsidRPr="00701354" w:rsidRDefault="00B36339" w:rsidP="00F17251">
      <w:pPr>
        <w:pStyle w:val="a3"/>
        <w:numPr>
          <w:ilvl w:val="0"/>
          <w:numId w:val="6"/>
        </w:numPr>
        <w:snapToGrid w:val="0"/>
        <w:ind w:leftChars="0" w:left="127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01354">
        <w:rPr>
          <w:rFonts w:ascii="標楷體" w:eastAsia="標楷體" w:hAnsi="標楷體" w:hint="eastAsia"/>
          <w:b/>
          <w:sz w:val="28"/>
          <w:szCs w:val="28"/>
        </w:rPr>
        <w:t>粵港澳</w:t>
      </w:r>
      <w:r w:rsidR="00DB5681" w:rsidRPr="00701354">
        <w:rPr>
          <w:rFonts w:ascii="標楷體" w:eastAsia="標楷體" w:hAnsi="標楷體" w:hint="eastAsia"/>
          <w:b/>
          <w:sz w:val="28"/>
          <w:szCs w:val="28"/>
        </w:rPr>
        <w:t>大灣區</w:t>
      </w:r>
    </w:p>
    <w:p w:rsidR="00DB5681" w:rsidRPr="00701354" w:rsidRDefault="00DB5681" w:rsidP="00F17251">
      <w:pPr>
        <w:pStyle w:val="a3"/>
        <w:snapToGrid w:val="0"/>
        <w:ind w:leftChars="0" w:left="127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01354">
        <w:rPr>
          <w:rFonts w:ascii="標楷體" w:eastAsia="標楷體" w:hAnsi="標楷體" w:hint="eastAsia"/>
          <w:sz w:val="28"/>
          <w:szCs w:val="28"/>
        </w:rPr>
        <w:t>2019年2月發布的</w:t>
      </w:r>
      <w:r w:rsidR="00121A32" w:rsidRPr="00701354">
        <w:rPr>
          <w:rFonts w:ascii="標楷體" w:eastAsia="標楷體" w:hAnsi="標楷體" w:hint="eastAsia"/>
          <w:sz w:val="28"/>
          <w:szCs w:val="28"/>
        </w:rPr>
        <w:t>《粵港澳大灣區發展規劃綱要》</w:t>
      </w:r>
      <w:r w:rsidR="00121A32" w:rsidRPr="00701354">
        <w:rPr>
          <w:rFonts w:ascii="標楷體" w:eastAsia="標楷體" w:hAnsi="標楷體"/>
          <w:sz w:val="28"/>
          <w:szCs w:val="28"/>
        </w:rPr>
        <w:t>(</w:t>
      </w:r>
      <w:r w:rsidR="00121A32" w:rsidRPr="00701354">
        <w:rPr>
          <w:rFonts w:ascii="標楷體" w:eastAsia="標楷體" w:hAnsi="標楷體" w:hint="eastAsia"/>
          <w:sz w:val="28"/>
          <w:szCs w:val="28"/>
        </w:rPr>
        <w:t>《規劃綱要》</w:t>
      </w:r>
      <w:r w:rsidR="00121A32" w:rsidRPr="00701354">
        <w:rPr>
          <w:rFonts w:ascii="標楷體" w:eastAsia="標楷體" w:hAnsi="標楷體"/>
          <w:sz w:val="28"/>
          <w:szCs w:val="28"/>
        </w:rPr>
        <w:t>)</w:t>
      </w:r>
      <w:r w:rsidRPr="00701354">
        <w:rPr>
          <w:rFonts w:ascii="標楷體" w:eastAsia="標楷體" w:hAnsi="標楷體" w:hint="eastAsia"/>
          <w:sz w:val="28"/>
          <w:szCs w:val="28"/>
        </w:rPr>
        <w:t>，提及「支持大灣區企業使用香港的檢驗檢測認證等服務」。</w:t>
      </w:r>
    </w:p>
    <w:p w:rsidR="00DB5681" w:rsidRPr="00701354" w:rsidRDefault="00DB5681" w:rsidP="00F17251">
      <w:pPr>
        <w:snapToGrid w:val="0"/>
        <w:contextualSpacing/>
        <w:jc w:val="both"/>
      </w:pPr>
    </w:p>
    <w:p w:rsidR="00701354" w:rsidRPr="00701354" w:rsidRDefault="00775735" w:rsidP="00F17251">
      <w:pPr>
        <w:pStyle w:val="a3"/>
        <w:numPr>
          <w:ilvl w:val="0"/>
          <w:numId w:val="6"/>
        </w:numPr>
        <w:snapToGrid w:val="0"/>
        <w:ind w:leftChars="0" w:left="1276"/>
        <w:contextualSpacing/>
        <w:jc w:val="both"/>
        <w:rPr>
          <w:rFonts w:ascii="標楷體" w:eastAsia="標楷體" w:hAnsi="標楷體"/>
          <w:b/>
          <w:sz w:val="28"/>
          <w:szCs w:val="28"/>
        </w:rPr>
      </w:pPr>
      <w:r w:rsidRPr="00701354">
        <w:rPr>
          <w:rFonts w:ascii="標楷體" w:eastAsia="標楷體" w:hAnsi="標楷體"/>
          <w:b/>
          <w:sz w:val="28"/>
          <w:szCs w:val="28"/>
        </w:rPr>
        <w:t>「一帶一路」</w:t>
      </w:r>
      <w:r w:rsidR="00DB5681" w:rsidRPr="00701354">
        <w:rPr>
          <w:rFonts w:ascii="標楷體" w:eastAsia="標楷體" w:hAnsi="標楷體" w:hint="eastAsia"/>
          <w:b/>
          <w:sz w:val="28"/>
          <w:szCs w:val="28"/>
        </w:rPr>
        <w:t>建設</w:t>
      </w:r>
    </w:p>
    <w:p w:rsidR="004B16D3" w:rsidRPr="00720110" w:rsidRDefault="00267CD7" w:rsidP="00F17251">
      <w:pPr>
        <w:pStyle w:val="a3"/>
        <w:snapToGrid w:val="0"/>
        <w:ind w:leftChars="0" w:left="1276"/>
        <w:contextualSpacing/>
        <w:jc w:val="both"/>
        <w:rPr>
          <w:rFonts w:asciiTheme="majorEastAsia" w:eastAsiaTheme="majorEastAsia" w:hAnsiTheme="majorEastAsia"/>
        </w:rPr>
      </w:pPr>
      <w:r w:rsidRPr="00701354">
        <w:rPr>
          <w:rFonts w:ascii="標楷體" w:eastAsia="標楷體" w:hAnsi="標楷體" w:hint="eastAsia"/>
          <w:sz w:val="28"/>
          <w:szCs w:val="28"/>
        </w:rPr>
        <w:t>2020年8月28日，</w:t>
      </w:r>
      <w:r w:rsidRPr="00701354">
        <w:rPr>
          <w:rFonts w:ascii="標楷體" w:eastAsia="標楷體" w:hAnsi="標楷體"/>
          <w:sz w:val="28"/>
          <w:szCs w:val="28"/>
        </w:rPr>
        <w:t>香港</w:t>
      </w:r>
      <w:r w:rsidRPr="00701354">
        <w:rPr>
          <w:rFonts w:ascii="標楷體" w:eastAsia="標楷體" w:hAnsi="標楷體" w:hint="eastAsia"/>
          <w:sz w:val="28"/>
          <w:szCs w:val="28"/>
        </w:rPr>
        <w:t>特區政府與國家發展和改革委員會及其他相關部委舉行了「支持香港全面參與和助力『一帶一路』建設聯席會議」的第三次會議</w:t>
      </w:r>
      <w:r w:rsidRPr="00701354">
        <w:rPr>
          <w:rFonts w:ascii="標楷體" w:eastAsia="標楷體" w:hAnsi="標楷體"/>
          <w:sz w:val="28"/>
          <w:szCs w:val="28"/>
        </w:rPr>
        <w:t>。</w:t>
      </w:r>
      <w:r w:rsidRPr="00701354">
        <w:rPr>
          <w:rFonts w:ascii="標楷體" w:eastAsia="標楷體" w:hAnsi="標楷體" w:hint="eastAsia"/>
          <w:sz w:val="28"/>
          <w:szCs w:val="28"/>
        </w:rPr>
        <w:t>會上，特區政府表示會致力促進內地企業就「一帶一路」項目與香港的專業服務提供者對接</w:t>
      </w:r>
      <w:r w:rsidRPr="00701354">
        <w:rPr>
          <w:rFonts w:ascii="標楷體" w:eastAsia="標楷體" w:hAnsi="標楷體"/>
          <w:sz w:val="28"/>
          <w:szCs w:val="28"/>
        </w:rPr>
        <w:t>。</w:t>
      </w:r>
      <w:r w:rsidRPr="00701354">
        <w:rPr>
          <w:rFonts w:ascii="標楷體" w:eastAsia="標楷體" w:hAnsi="標楷體" w:hint="eastAsia"/>
          <w:sz w:val="28"/>
          <w:szCs w:val="28"/>
        </w:rPr>
        <w:t>會議也談及研究推動香港檢測認證業</w:t>
      </w:r>
      <w:r w:rsidRPr="00701354">
        <w:rPr>
          <w:rFonts w:ascii="標楷體" w:eastAsia="標楷體" w:hAnsi="標楷體" w:hint="eastAsia"/>
          <w:sz w:val="28"/>
          <w:szCs w:val="28"/>
        </w:rPr>
        <w:lastRenderedPageBreak/>
        <w:t>界承擔更多檢測工作，包括CCC</w:t>
      </w:r>
      <w:r w:rsidR="00A457A5" w:rsidRPr="00701354">
        <w:rPr>
          <w:rFonts w:ascii="標楷體" w:eastAsia="標楷體" w:hAnsi="標楷體" w:hint="eastAsia"/>
          <w:sz w:val="28"/>
          <w:szCs w:val="28"/>
        </w:rPr>
        <w:t>檢測工作，亦會研究</w:t>
      </w:r>
      <w:r w:rsidRPr="00701354">
        <w:rPr>
          <w:rFonts w:ascii="標楷體" w:eastAsia="標楷體" w:hAnsi="標楷體" w:hint="eastAsia"/>
          <w:sz w:val="28"/>
          <w:szCs w:val="28"/>
        </w:rPr>
        <w:t>以內地在「一帶一路」相關國家建立的境外經貿合作區為試點，持續發揮香港的軟實力。</w:t>
      </w:r>
      <w:r w:rsidRPr="00701354">
        <w:br/>
      </w:r>
    </w:p>
    <w:p w:rsidR="00B2482F" w:rsidRPr="00701354" w:rsidRDefault="00076D40" w:rsidP="00F17251">
      <w:pPr>
        <w:snapToGrid w:val="0"/>
        <w:contextualSpacing/>
        <w:jc w:val="both"/>
        <w:rPr>
          <w:rFonts w:ascii="標楷體" w:eastAsia="標楷體" w:hAnsi="標楷體"/>
          <w:b/>
          <w:sz w:val="28"/>
          <w:szCs w:val="28"/>
        </w:rPr>
      </w:pPr>
      <w:r w:rsidRPr="00701354">
        <w:rPr>
          <w:rFonts w:ascii="標楷體" w:eastAsia="標楷體" w:hAnsi="標楷體"/>
          <w:b/>
          <w:sz w:val="28"/>
          <w:szCs w:val="28"/>
        </w:rPr>
        <w:t>徵詢意見</w:t>
      </w:r>
    </w:p>
    <w:p w:rsidR="007368E0" w:rsidRPr="00701354" w:rsidRDefault="00F17251" w:rsidP="00F17251">
      <w:pPr>
        <w:tabs>
          <w:tab w:val="left" w:pos="709"/>
        </w:tabs>
        <w:snapToGrid w:val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17251">
        <w:rPr>
          <w:rFonts w:ascii="標楷體" w:eastAsia="標楷體" w:hAnsi="標楷體"/>
        </w:rPr>
        <w:t>3.</w:t>
      </w:r>
      <w:r w:rsidR="00F424A7" w:rsidRPr="00701354">
        <w:tab/>
      </w:r>
      <w:r w:rsidR="00F424A7" w:rsidRPr="00701354">
        <w:rPr>
          <w:rFonts w:ascii="標楷體" w:eastAsia="標楷體" w:hAnsi="標楷體"/>
          <w:sz w:val="28"/>
          <w:szCs w:val="28"/>
        </w:rPr>
        <w:t>香港的檢測認證業具專業誠信、高技術能力、優質品牌及熟悉國際市場要求的優勢，可為內地</w:t>
      </w:r>
      <w:r w:rsidR="00A457A5" w:rsidRPr="00701354">
        <w:rPr>
          <w:rFonts w:ascii="標楷體" w:eastAsia="標楷體" w:hAnsi="標楷體" w:hint="eastAsia"/>
          <w:sz w:val="28"/>
          <w:szCs w:val="28"/>
        </w:rPr>
        <w:t>以至</w:t>
      </w:r>
      <w:r w:rsidR="00A457A5" w:rsidRPr="00701354">
        <w:rPr>
          <w:rFonts w:ascii="標楷體" w:eastAsia="標楷體" w:hAnsi="標楷體"/>
          <w:sz w:val="28"/>
          <w:szCs w:val="28"/>
        </w:rPr>
        <w:t>「一帶一路」</w:t>
      </w:r>
      <w:r w:rsidR="00F424A7" w:rsidRPr="00701354">
        <w:rPr>
          <w:rFonts w:ascii="標楷體" w:eastAsia="標楷體" w:hAnsi="標楷體"/>
          <w:sz w:val="28"/>
          <w:szCs w:val="28"/>
        </w:rPr>
        <w:t>市場的產品質量和安全把關，並協助內地的產品「走出去」。如何善用CEPA</w:t>
      </w:r>
      <w:r w:rsidR="00AF632F" w:rsidRPr="00701354">
        <w:rPr>
          <w:rFonts w:ascii="標楷體" w:eastAsia="標楷體" w:hAnsi="標楷體"/>
          <w:sz w:val="28"/>
          <w:szCs w:val="28"/>
        </w:rPr>
        <w:t>、</w:t>
      </w:r>
      <w:r w:rsidR="00B36339" w:rsidRPr="00701354">
        <w:rPr>
          <w:rFonts w:ascii="標楷體" w:eastAsia="標楷體" w:hAnsi="標楷體" w:hint="eastAsia"/>
          <w:sz w:val="28"/>
          <w:szCs w:val="28"/>
        </w:rPr>
        <w:t>粵港澳</w:t>
      </w:r>
      <w:r w:rsidR="00F424A7" w:rsidRPr="00701354">
        <w:rPr>
          <w:rFonts w:ascii="標楷體" w:eastAsia="標楷體" w:hAnsi="標楷體"/>
          <w:sz w:val="28"/>
          <w:szCs w:val="28"/>
        </w:rPr>
        <w:t>大灣區</w:t>
      </w:r>
      <w:r w:rsidR="00AF632F" w:rsidRPr="00701354">
        <w:rPr>
          <w:rFonts w:ascii="標楷體" w:eastAsia="標楷體" w:hAnsi="標楷體" w:hint="eastAsia"/>
          <w:sz w:val="28"/>
          <w:szCs w:val="28"/>
        </w:rPr>
        <w:t>及</w:t>
      </w:r>
      <w:r w:rsidR="00AF632F" w:rsidRPr="00701354">
        <w:rPr>
          <w:rFonts w:ascii="標楷體" w:eastAsia="標楷體" w:hAnsi="標楷體"/>
          <w:sz w:val="28"/>
          <w:szCs w:val="28"/>
        </w:rPr>
        <w:t>「一帶一路」</w:t>
      </w:r>
      <w:r w:rsidR="00544A32" w:rsidRPr="00701354">
        <w:rPr>
          <w:rFonts w:ascii="標楷體" w:eastAsia="標楷體" w:hAnsi="標楷體" w:hint="eastAsia"/>
          <w:sz w:val="28"/>
          <w:szCs w:val="28"/>
        </w:rPr>
        <w:t>建設</w:t>
      </w:r>
      <w:r w:rsidR="00F424A7" w:rsidRPr="00701354">
        <w:rPr>
          <w:rFonts w:ascii="標楷體" w:eastAsia="標楷體" w:hAnsi="標楷體"/>
          <w:sz w:val="28"/>
          <w:szCs w:val="28"/>
        </w:rPr>
        <w:t>的發展機遇，實在有賴業界出謀獻策。我們誠邀</w:t>
      </w:r>
      <w:r w:rsidR="001563F9" w:rsidRPr="00701354">
        <w:rPr>
          <w:rFonts w:ascii="標楷體" w:eastAsia="標楷體" w:hAnsi="標楷體" w:hint="eastAsia"/>
          <w:sz w:val="28"/>
          <w:szCs w:val="28"/>
        </w:rPr>
        <w:t xml:space="preserve"> </w:t>
      </w:r>
      <w:r w:rsidR="00F424A7" w:rsidRPr="00701354">
        <w:rPr>
          <w:rFonts w:ascii="標楷體" w:eastAsia="標楷體" w:hAnsi="標楷體"/>
          <w:sz w:val="28"/>
          <w:szCs w:val="28"/>
        </w:rPr>
        <w:t>貴機構就下述事宜提出具體意見：</w:t>
      </w:r>
    </w:p>
    <w:p w:rsidR="00A416C0" w:rsidRPr="00701354" w:rsidRDefault="00A416C0" w:rsidP="00F17251">
      <w:pPr>
        <w:snapToGrid w:val="0"/>
        <w:contextualSpacing/>
        <w:jc w:val="both"/>
      </w:pPr>
    </w:p>
    <w:p w:rsidR="00775735" w:rsidRPr="00701354" w:rsidRDefault="00544A32" w:rsidP="00F17251">
      <w:pPr>
        <w:tabs>
          <w:tab w:val="left" w:pos="1418"/>
        </w:tabs>
        <w:snapToGrid w:val="0"/>
        <w:ind w:leftChars="354" w:left="1416" w:hangingChars="202" w:hanging="56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01354">
        <w:rPr>
          <w:rFonts w:ascii="標楷體" w:eastAsia="標楷體" w:hAnsi="標楷體" w:hint="eastAsia"/>
          <w:sz w:val="28"/>
          <w:szCs w:val="28"/>
        </w:rPr>
        <w:t>(1)</w:t>
      </w:r>
      <w:r w:rsidR="00405B13" w:rsidRPr="00701354">
        <w:rPr>
          <w:rFonts w:ascii="標楷體" w:eastAsia="標楷體" w:hAnsi="標楷體"/>
          <w:sz w:val="28"/>
          <w:szCs w:val="28"/>
        </w:rPr>
        <w:t>《規劃綱要》第六章第三節內提及「支持大灣區企業使用香港的檢驗檢測認證等服務」</w:t>
      </w:r>
      <w:r w:rsidRPr="00701354">
        <w:rPr>
          <w:rFonts w:ascii="標楷體" w:eastAsia="標楷體" w:hAnsi="標楷體"/>
          <w:sz w:val="28"/>
          <w:szCs w:val="28"/>
        </w:rPr>
        <w:t>。</w:t>
      </w:r>
      <w:r w:rsidR="005862CE" w:rsidRPr="00701354">
        <w:rPr>
          <w:rFonts w:ascii="標楷體" w:eastAsia="標楷體" w:hAnsi="標楷體"/>
          <w:sz w:val="28"/>
          <w:szCs w:val="28"/>
        </w:rPr>
        <w:t>香港檢測和認證</w:t>
      </w:r>
      <w:r w:rsidR="00445ACC" w:rsidRPr="00701354">
        <w:rPr>
          <w:rFonts w:ascii="標楷體" w:eastAsia="標楷體" w:hAnsi="標楷體" w:hint="eastAsia"/>
          <w:sz w:val="28"/>
          <w:szCs w:val="28"/>
        </w:rPr>
        <w:t>局</w:t>
      </w:r>
      <w:r w:rsidR="000B7FF6" w:rsidRPr="00701354">
        <w:rPr>
          <w:rFonts w:ascii="標楷體" w:eastAsia="標楷體" w:hAnsi="標楷體" w:hint="eastAsia"/>
          <w:sz w:val="28"/>
          <w:szCs w:val="28"/>
        </w:rPr>
        <w:t>在過去數年均</w:t>
      </w:r>
      <w:r w:rsidR="005862CE" w:rsidRPr="00701354">
        <w:rPr>
          <w:rFonts w:ascii="標楷體" w:eastAsia="標楷體" w:hAnsi="標楷體" w:hint="eastAsia"/>
          <w:sz w:val="28"/>
          <w:szCs w:val="28"/>
        </w:rPr>
        <w:t>有參與</w:t>
      </w:r>
      <w:r w:rsidRPr="00701354">
        <w:rPr>
          <w:rFonts w:ascii="標楷體" w:eastAsia="標楷體" w:hAnsi="標楷體" w:hint="eastAsia"/>
          <w:sz w:val="28"/>
          <w:szCs w:val="28"/>
        </w:rPr>
        <w:t>在深圳舉行的</w:t>
      </w:r>
      <w:r w:rsidRPr="00701354">
        <w:rPr>
          <w:rFonts w:ascii="標楷體" w:eastAsia="標楷體" w:hAnsi="標楷體"/>
          <w:sz w:val="28"/>
          <w:szCs w:val="28"/>
        </w:rPr>
        <w:t>「</w:t>
      </w:r>
      <w:r w:rsidR="00726002" w:rsidRPr="00701354">
        <w:rPr>
          <w:rFonts w:ascii="標楷體" w:eastAsia="標楷體" w:hAnsi="標楷體" w:hint="eastAsia"/>
          <w:sz w:val="28"/>
          <w:szCs w:val="28"/>
        </w:rPr>
        <w:t>中國國際高新技術成果交流會</w:t>
      </w:r>
      <w:r w:rsidRPr="00701354">
        <w:rPr>
          <w:rFonts w:ascii="標楷體" w:eastAsia="標楷體" w:hAnsi="標楷體"/>
          <w:sz w:val="28"/>
          <w:szCs w:val="28"/>
        </w:rPr>
        <w:t>」</w:t>
      </w:r>
      <w:r w:rsidR="005862CE" w:rsidRPr="00701354">
        <w:rPr>
          <w:rFonts w:ascii="標楷體" w:eastAsia="標楷體" w:hAnsi="標楷體"/>
          <w:sz w:val="28"/>
          <w:szCs w:val="28"/>
        </w:rPr>
        <w:t>，</w:t>
      </w:r>
      <w:r w:rsidR="005862CE" w:rsidRPr="00701354">
        <w:rPr>
          <w:rFonts w:ascii="標楷體" w:eastAsia="標楷體" w:hAnsi="標楷體" w:hint="eastAsia"/>
          <w:sz w:val="28"/>
          <w:szCs w:val="28"/>
        </w:rPr>
        <w:t>展示香港</w:t>
      </w:r>
      <w:r w:rsidR="005862CE" w:rsidRPr="00701354">
        <w:rPr>
          <w:rFonts w:ascii="標楷體" w:eastAsia="標楷體" w:hAnsi="標楷體"/>
          <w:sz w:val="28"/>
          <w:szCs w:val="28"/>
        </w:rPr>
        <w:t>檢測和認證</w:t>
      </w:r>
      <w:r w:rsidR="005862CE" w:rsidRPr="00701354">
        <w:rPr>
          <w:rFonts w:ascii="標楷體" w:eastAsia="標楷體" w:hAnsi="標楷體" w:hint="eastAsia"/>
          <w:sz w:val="28"/>
          <w:szCs w:val="28"/>
        </w:rPr>
        <w:t>服務優勢</w:t>
      </w:r>
      <w:r w:rsidR="005862CE" w:rsidRPr="00701354">
        <w:rPr>
          <w:rFonts w:ascii="標楷體" w:eastAsia="標楷體" w:hAnsi="標楷體"/>
          <w:sz w:val="28"/>
          <w:szCs w:val="28"/>
        </w:rPr>
        <w:t>。</w:t>
      </w:r>
      <w:r w:rsidR="005862CE" w:rsidRPr="00701354">
        <w:rPr>
          <w:rFonts w:ascii="標楷體" w:eastAsia="標楷體" w:hAnsi="標楷體" w:hint="eastAsia"/>
          <w:sz w:val="28"/>
          <w:szCs w:val="28"/>
        </w:rPr>
        <w:t>本局現正計劃在大灣區</w:t>
      </w:r>
      <w:r w:rsidR="00B62329" w:rsidRPr="00701354">
        <w:rPr>
          <w:rFonts w:ascii="標楷體" w:eastAsia="標楷體" w:hAnsi="標楷體" w:hint="eastAsia"/>
          <w:sz w:val="28"/>
          <w:szCs w:val="28"/>
        </w:rPr>
        <w:t>透過電子媒體</w:t>
      </w:r>
      <w:r w:rsidR="005862CE" w:rsidRPr="00701354">
        <w:rPr>
          <w:rFonts w:ascii="標楷體" w:eastAsia="標楷體" w:hAnsi="標楷體" w:hint="eastAsia"/>
          <w:sz w:val="28"/>
          <w:szCs w:val="28"/>
        </w:rPr>
        <w:t>加強宣傳及推廣</w:t>
      </w:r>
      <w:r w:rsidR="0012248C" w:rsidRPr="00701354">
        <w:rPr>
          <w:rFonts w:ascii="標楷體" w:eastAsia="標楷體" w:hAnsi="標楷體"/>
          <w:sz w:val="28"/>
          <w:szCs w:val="28"/>
        </w:rPr>
        <w:t>。</w:t>
      </w:r>
      <w:r w:rsidR="005862CE" w:rsidRPr="00701354">
        <w:rPr>
          <w:rFonts w:ascii="標楷體" w:eastAsia="標楷體" w:hAnsi="標楷體" w:hint="eastAsia"/>
          <w:sz w:val="28"/>
          <w:szCs w:val="28"/>
        </w:rPr>
        <w:t>待疫情緩和</w:t>
      </w:r>
      <w:r w:rsidR="00E75FFA" w:rsidRPr="00701354">
        <w:rPr>
          <w:rFonts w:ascii="標楷體" w:eastAsia="標楷體" w:hAnsi="標楷體" w:hint="eastAsia"/>
          <w:sz w:val="28"/>
          <w:szCs w:val="28"/>
        </w:rPr>
        <w:t>後</w:t>
      </w:r>
      <w:r w:rsidR="005862CE" w:rsidRPr="00701354">
        <w:rPr>
          <w:rFonts w:ascii="標楷體" w:eastAsia="標楷體" w:hAnsi="標楷體"/>
          <w:sz w:val="28"/>
          <w:szCs w:val="28"/>
        </w:rPr>
        <w:t>，</w:t>
      </w:r>
      <w:r w:rsidR="00FB58C8" w:rsidRPr="00701354">
        <w:rPr>
          <w:rFonts w:ascii="標楷體" w:eastAsia="標楷體" w:hAnsi="標楷體" w:hint="eastAsia"/>
          <w:sz w:val="28"/>
          <w:szCs w:val="28"/>
        </w:rPr>
        <w:t>我們希望</w:t>
      </w:r>
      <w:r w:rsidR="005862CE" w:rsidRPr="00701354">
        <w:rPr>
          <w:rFonts w:ascii="標楷體" w:eastAsia="標楷體" w:hAnsi="標楷體" w:hint="eastAsia"/>
          <w:sz w:val="28"/>
          <w:szCs w:val="28"/>
        </w:rPr>
        <w:t>探索</w:t>
      </w:r>
      <w:r w:rsidR="006E462E" w:rsidRPr="00701354">
        <w:rPr>
          <w:rFonts w:ascii="標楷體" w:eastAsia="標楷體" w:hAnsi="標楷體" w:hint="eastAsia"/>
          <w:sz w:val="28"/>
          <w:szCs w:val="28"/>
        </w:rPr>
        <w:t>在某</w:t>
      </w:r>
      <w:r w:rsidR="005862CE" w:rsidRPr="00701354">
        <w:rPr>
          <w:rFonts w:ascii="標楷體" w:eastAsia="標楷體" w:hAnsi="標楷體" w:hint="eastAsia"/>
          <w:sz w:val="28"/>
          <w:szCs w:val="28"/>
        </w:rPr>
        <w:t>些大灣區城市舉辦展覽或研討會</w:t>
      </w:r>
      <w:r w:rsidR="005862CE" w:rsidRPr="00701354">
        <w:rPr>
          <w:rFonts w:ascii="標楷體" w:eastAsia="標楷體" w:hAnsi="標楷體"/>
          <w:sz w:val="28"/>
          <w:szCs w:val="28"/>
        </w:rPr>
        <w:t>。</w:t>
      </w:r>
      <w:r w:rsidR="00DE2516" w:rsidRPr="00701354">
        <w:rPr>
          <w:rFonts w:ascii="標楷體" w:eastAsia="標楷體" w:hAnsi="標楷體" w:hint="eastAsia"/>
          <w:sz w:val="28"/>
          <w:szCs w:val="28"/>
        </w:rPr>
        <w:t>而大灣區的城市各有不同的產業佈局</w:t>
      </w:r>
      <w:r w:rsidR="00DE2516" w:rsidRPr="00701354">
        <w:rPr>
          <w:rFonts w:ascii="標楷體" w:eastAsia="標楷體" w:hAnsi="標楷體"/>
          <w:sz w:val="28"/>
          <w:szCs w:val="28"/>
        </w:rPr>
        <w:t>，</w:t>
      </w:r>
      <w:r w:rsidR="00DE2516" w:rsidRPr="00701354">
        <w:rPr>
          <w:rFonts w:ascii="標楷體" w:eastAsia="標楷體" w:hAnsi="標楷體" w:hint="eastAsia"/>
          <w:sz w:val="28"/>
          <w:szCs w:val="28"/>
        </w:rPr>
        <w:t>各有獨特優勢(詳見</w:t>
      </w:r>
      <w:r w:rsidR="00DE2516" w:rsidRPr="004B16D3">
        <w:rPr>
          <w:rFonts w:ascii="標楷體" w:eastAsia="標楷體" w:hAnsi="標楷體" w:hint="eastAsia"/>
          <w:sz w:val="28"/>
          <w:szCs w:val="28"/>
          <w:u w:val="single"/>
        </w:rPr>
        <w:t>附件</w:t>
      </w:r>
      <w:r w:rsidR="00DE2516" w:rsidRPr="00701354">
        <w:rPr>
          <w:rFonts w:ascii="標楷體" w:eastAsia="標楷體" w:hAnsi="標楷體" w:hint="eastAsia"/>
          <w:sz w:val="28"/>
          <w:szCs w:val="28"/>
        </w:rPr>
        <w:t>)</w:t>
      </w:r>
      <w:r w:rsidR="00DE2516" w:rsidRPr="00701354">
        <w:rPr>
          <w:rFonts w:ascii="標楷體" w:eastAsia="標楷體" w:hAnsi="標楷體"/>
          <w:sz w:val="28"/>
          <w:szCs w:val="28"/>
        </w:rPr>
        <w:t>，</w:t>
      </w:r>
      <w:r w:rsidR="005862CE" w:rsidRPr="00701354">
        <w:rPr>
          <w:rFonts w:ascii="標楷體" w:eastAsia="標楷體" w:hAnsi="標楷體" w:hint="eastAsia"/>
          <w:sz w:val="28"/>
          <w:szCs w:val="28"/>
        </w:rPr>
        <w:t xml:space="preserve"> 貴機構認為展覽或研討會等</w:t>
      </w:r>
      <w:r w:rsidR="00810B10" w:rsidRPr="00701354">
        <w:rPr>
          <w:rFonts w:ascii="標楷體" w:eastAsia="標楷體" w:hAnsi="標楷體" w:hint="eastAsia"/>
          <w:sz w:val="28"/>
          <w:szCs w:val="28"/>
        </w:rPr>
        <w:t>活動</w:t>
      </w:r>
      <w:r w:rsidR="005862CE" w:rsidRPr="00701354">
        <w:rPr>
          <w:rFonts w:ascii="標楷體" w:eastAsia="標楷體" w:hAnsi="標楷體" w:hint="eastAsia"/>
          <w:sz w:val="28"/>
          <w:szCs w:val="28"/>
        </w:rPr>
        <w:t>可針對</w:t>
      </w:r>
      <w:r w:rsidRPr="00701354">
        <w:rPr>
          <w:rFonts w:ascii="標楷體" w:eastAsia="標楷體" w:hAnsi="標楷體" w:hint="eastAsia"/>
          <w:sz w:val="28"/>
          <w:szCs w:val="28"/>
        </w:rPr>
        <w:t>大灣區內</w:t>
      </w:r>
      <w:r w:rsidR="005862CE" w:rsidRPr="00701354">
        <w:rPr>
          <w:rFonts w:ascii="標楷體" w:eastAsia="標楷體" w:hAnsi="標楷體" w:hint="eastAsia"/>
          <w:sz w:val="28"/>
          <w:szCs w:val="28"/>
        </w:rPr>
        <w:t>哪些</w:t>
      </w:r>
      <w:r w:rsidR="008F2D9F" w:rsidRPr="00701354">
        <w:rPr>
          <w:rFonts w:ascii="標楷體" w:eastAsia="標楷體" w:hAnsi="標楷體" w:hint="eastAsia"/>
          <w:sz w:val="28"/>
          <w:szCs w:val="28"/>
        </w:rPr>
        <w:t>城市</w:t>
      </w:r>
      <w:r w:rsidRPr="00701354">
        <w:rPr>
          <w:rFonts w:ascii="標楷體" w:eastAsia="標楷體" w:hAnsi="標楷體" w:hint="eastAsia"/>
          <w:sz w:val="28"/>
          <w:szCs w:val="28"/>
        </w:rPr>
        <w:t>或</w:t>
      </w:r>
      <w:r w:rsidR="00E25A0D" w:rsidRPr="00701354">
        <w:rPr>
          <w:rFonts w:ascii="標楷體" w:eastAsia="標楷體" w:hAnsi="標楷體" w:hint="eastAsia"/>
          <w:sz w:val="28"/>
          <w:szCs w:val="28"/>
        </w:rPr>
        <w:t>哪些行業</w:t>
      </w:r>
      <w:r w:rsidRPr="00701354">
        <w:rPr>
          <w:rFonts w:ascii="標楷體" w:eastAsia="標楷體" w:hAnsi="標楷體" w:hint="eastAsia"/>
          <w:sz w:val="28"/>
          <w:szCs w:val="28"/>
        </w:rPr>
        <w:t>舉辦</w:t>
      </w:r>
      <w:r w:rsidR="008F2D9F" w:rsidRPr="00701354">
        <w:rPr>
          <w:rFonts w:ascii="標楷體" w:eastAsia="標楷體" w:hAnsi="標楷體"/>
          <w:sz w:val="28"/>
          <w:szCs w:val="28"/>
        </w:rPr>
        <w:t>？</w:t>
      </w:r>
      <w:r w:rsidR="004B16D3">
        <w:rPr>
          <w:rFonts w:ascii="標楷體" w:eastAsia="標楷體" w:hAnsi="標楷體" w:hint="eastAsia"/>
          <w:sz w:val="28"/>
          <w:szCs w:val="28"/>
        </w:rPr>
        <w:t xml:space="preserve"> </w:t>
      </w:r>
      <w:r w:rsidR="004B16D3">
        <w:rPr>
          <w:rFonts w:ascii="標楷體" w:eastAsia="標楷體" w:hAnsi="標楷體" w:hint="eastAsia"/>
          <w:sz w:val="28"/>
          <w:szCs w:val="28"/>
          <w:lang w:eastAsia="zh-HK"/>
        </w:rPr>
        <w:t>貴機</w:t>
      </w:r>
      <w:r w:rsidR="004B16D3">
        <w:rPr>
          <w:rFonts w:ascii="標楷體" w:eastAsia="標楷體" w:hAnsi="標楷體" w:hint="eastAsia"/>
          <w:sz w:val="28"/>
          <w:szCs w:val="28"/>
        </w:rPr>
        <w:t>構</w:t>
      </w:r>
      <w:r w:rsidR="004B16D3">
        <w:rPr>
          <w:rFonts w:ascii="標楷體" w:eastAsia="標楷體" w:hAnsi="標楷體" w:hint="eastAsia"/>
          <w:sz w:val="28"/>
          <w:szCs w:val="28"/>
          <w:lang w:eastAsia="zh-HK"/>
        </w:rPr>
        <w:t>有否興</w:t>
      </w:r>
      <w:r w:rsidR="004B16D3">
        <w:rPr>
          <w:rFonts w:ascii="標楷體" w:eastAsia="標楷體" w:hAnsi="標楷體" w:hint="eastAsia"/>
          <w:sz w:val="28"/>
          <w:szCs w:val="28"/>
        </w:rPr>
        <w:t>趣</w:t>
      </w:r>
      <w:r w:rsidR="004B16D3">
        <w:rPr>
          <w:rFonts w:ascii="標楷體" w:eastAsia="標楷體" w:hAnsi="標楷體" w:hint="eastAsia"/>
          <w:sz w:val="28"/>
          <w:szCs w:val="28"/>
          <w:lang w:eastAsia="zh-HK"/>
        </w:rPr>
        <w:t>參</w:t>
      </w:r>
      <w:r w:rsidR="004B16D3">
        <w:rPr>
          <w:rFonts w:ascii="標楷體" w:eastAsia="標楷體" w:hAnsi="標楷體" w:hint="eastAsia"/>
          <w:sz w:val="28"/>
          <w:szCs w:val="28"/>
        </w:rPr>
        <w:t>與</w:t>
      </w:r>
      <w:r w:rsidR="004B16D3" w:rsidRPr="00701354">
        <w:rPr>
          <w:rFonts w:ascii="標楷體" w:eastAsia="標楷體" w:hAnsi="標楷體"/>
          <w:sz w:val="28"/>
          <w:szCs w:val="28"/>
        </w:rPr>
        <w:t>？</w:t>
      </w:r>
    </w:p>
    <w:p w:rsidR="00370570" w:rsidRPr="00701354" w:rsidRDefault="00370570" w:rsidP="00F17251">
      <w:pPr>
        <w:snapToGrid w:val="0"/>
        <w:contextualSpacing/>
        <w:jc w:val="both"/>
      </w:pPr>
    </w:p>
    <w:p w:rsidR="00370570" w:rsidRPr="00701354" w:rsidRDefault="00370570" w:rsidP="00F17251">
      <w:pPr>
        <w:tabs>
          <w:tab w:val="left" w:pos="1418"/>
        </w:tabs>
        <w:snapToGrid w:val="0"/>
        <w:ind w:leftChars="354" w:left="1416" w:hangingChars="202" w:hanging="56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01354">
        <w:rPr>
          <w:rFonts w:ascii="標楷體" w:eastAsia="標楷體" w:hAnsi="標楷體" w:hint="eastAsia"/>
          <w:sz w:val="28"/>
          <w:szCs w:val="28"/>
        </w:rPr>
        <w:t xml:space="preserve">(2) </w:t>
      </w:r>
      <w:r w:rsidR="00F17251" w:rsidRPr="00F17251">
        <w:rPr>
          <w:rFonts w:ascii="標楷體" w:eastAsia="標楷體" w:hAnsi="標楷體" w:hint="eastAsia"/>
          <w:sz w:val="28"/>
          <w:szCs w:val="28"/>
        </w:rPr>
        <w:t>內地</w:t>
      </w:r>
      <w:r w:rsidR="00A139C1">
        <w:rPr>
          <w:rFonts w:ascii="標楷體" w:eastAsia="標楷體" w:hAnsi="標楷體" w:hint="eastAsia"/>
          <w:sz w:val="28"/>
          <w:szCs w:val="28"/>
          <w:lang w:eastAsia="zh-HK"/>
        </w:rPr>
        <w:t>在</w:t>
      </w:r>
      <w:r w:rsidRPr="00701354">
        <w:rPr>
          <w:rFonts w:ascii="標楷體" w:eastAsia="標楷體" w:hAnsi="標楷體"/>
          <w:sz w:val="28"/>
          <w:szCs w:val="28"/>
        </w:rPr>
        <w:t>「一帶一路」</w:t>
      </w:r>
      <w:r w:rsidRPr="00701354">
        <w:rPr>
          <w:rFonts w:ascii="標楷體" w:eastAsia="標楷體" w:hAnsi="標楷體" w:hint="eastAsia"/>
          <w:sz w:val="28"/>
          <w:szCs w:val="28"/>
        </w:rPr>
        <w:t>國家有多個經貿合作區</w:t>
      </w:r>
      <w:r w:rsidRPr="00701354">
        <w:rPr>
          <w:rFonts w:ascii="標楷體" w:eastAsia="標楷體" w:hAnsi="標楷體"/>
          <w:sz w:val="28"/>
          <w:szCs w:val="28"/>
        </w:rPr>
        <w:t>，</w:t>
      </w:r>
      <w:r w:rsidRPr="00701354">
        <w:rPr>
          <w:rFonts w:ascii="標楷體" w:eastAsia="標楷體" w:hAnsi="標楷體" w:hint="eastAsia"/>
          <w:sz w:val="28"/>
          <w:szCs w:val="28"/>
        </w:rPr>
        <w:t>各著重不同的產業(詳見</w:t>
      </w:r>
      <w:r w:rsidRPr="004B16D3">
        <w:rPr>
          <w:rFonts w:ascii="標楷體" w:eastAsia="標楷體" w:hAnsi="標楷體" w:hint="eastAsia"/>
          <w:sz w:val="28"/>
          <w:szCs w:val="28"/>
          <w:u w:val="single"/>
        </w:rPr>
        <w:t>附件</w:t>
      </w:r>
      <w:r w:rsidRPr="00701354">
        <w:rPr>
          <w:rFonts w:ascii="標楷體" w:eastAsia="標楷體" w:hAnsi="標楷體" w:hint="eastAsia"/>
          <w:sz w:val="28"/>
          <w:szCs w:val="28"/>
        </w:rPr>
        <w:t xml:space="preserve">)， </w:t>
      </w:r>
      <w:r w:rsidR="004B16D3">
        <w:rPr>
          <w:rFonts w:ascii="標楷體" w:eastAsia="標楷體" w:hAnsi="標楷體" w:hint="eastAsia"/>
          <w:sz w:val="28"/>
          <w:szCs w:val="28"/>
        </w:rPr>
        <w:t>貴機構有沒有對某一些合作區</w:t>
      </w:r>
      <w:r w:rsidRPr="00701354">
        <w:rPr>
          <w:rFonts w:ascii="標楷體" w:eastAsia="標楷體" w:hAnsi="標楷體" w:hint="eastAsia"/>
          <w:sz w:val="28"/>
          <w:szCs w:val="28"/>
        </w:rPr>
        <w:t>有發展檢測認證業務的興趣？如有，請詳述原因和所需配套措施</w:t>
      </w:r>
      <w:r w:rsidRPr="00701354">
        <w:rPr>
          <w:rFonts w:ascii="標楷體" w:eastAsia="標楷體" w:hAnsi="標楷體"/>
          <w:sz w:val="28"/>
          <w:szCs w:val="28"/>
        </w:rPr>
        <w:t>。</w:t>
      </w:r>
    </w:p>
    <w:p w:rsidR="00370570" w:rsidRPr="00701354" w:rsidRDefault="00370570" w:rsidP="00F17251">
      <w:pPr>
        <w:snapToGrid w:val="0"/>
        <w:contextualSpacing/>
        <w:jc w:val="both"/>
      </w:pPr>
    </w:p>
    <w:p w:rsidR="00E24DF6" w:rsidRPr="00701354" w:rsidRDefault="00544A32" w:rsidP="00F17251">
      <w:pPr>
        <w:tabs>
          <w:tab w:val="left" w:pos="1418"/>
        </w:tabs>
        <w:snapToGrid w:val="0"/>
        <w:ind w:leftChars="354" w:left="1416" w:hangingChars="202" w:hanging="56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01354">
        <w:rPr>
          <w:rFonts w:ascii="標楷體" w:eastAsia="標楷體" w:hAnsi="標楷體" w:hint="eastAsia"/>
          <w:sz w:val="28"/>
          <w:szCs w:val="28"/>
        </w:rPr>
        <w:t>(</w:t>
      </w:r>
      <w:r w:rsidR="00370570" w:rsidRPr="00701354">
        <w:rPr>
          <w:rFonts w:ascii="標楷體" w:eastAsia="標楷體" w:hAnsi="標楷體" w:hint="eastAsia"/>
          <w:sz w:val="28"/>
          <w:szCs w:val="28"/>
        </w:rPr>
        <w:t>3</w:t>
      </w:r>
      <w:r w:rsidRPr="00701354">
        <w:rPr>
          <w:rFonts w:ascii="標楷體" w:eastAsia="標楷體" w:hAnsi="標楷體" w:hint="eastAsia"/>
          <w:sz w:val="28"/>
          <w:szCs w:val="28"/>
        </w:rPr>
        <w:t>)</w:t>
      </w:r>
      <w:r w:rsidR="00C205E3" w:rsidRPr="00701354">
        <w:rPr>
          <w:rFonts w:ascii="標楷體" w:eastAsia="標楷體" w:hAnsi="標楷體"/>
          <w:sz w:val="28"/>
          <w:szCs w:val="28"/>
        </w:rPr>
        <w:t xml:space="preserve"> </w:t>
      </w:r>
      <w:r w:rsidR="00BE1882" w:rsidRPr="00701354">
        <w:rPr>
          <w:rFonts w:ascii="標楷體" w:eastAsia="標楷體" w:hAnsi="標楷體" w:hint="eastAsia"/>
          <w:sz w:val="28"/>
          <w:szCs w:val="28"/>
        </w:rPr>
        <w:t>現時</w:t>
      </w:r>
      <w:r w:rsidR="0056333C" w:rsidRPr="00701354">
        <w:rPr>
          <w:rFonts w:ascii="標楷體" w:eastAsia="標楷體" w:hAnsi="標楷體" w:hint="eastAsia"/>
          <w:sz w:val="28"/>
          <w:szCs w:val="28"/>
        </w:rPr>
        <w:t>在</w:t>
      </w:r>
      <w:r w:rsidR="00BE1882" w:rsidRPr="00701354">
        <w:rPr>
          <w:rFonts w:ascii="標楷體" w:eastAsia="標楷體" w:hAnsi="標楷體" w:hint="eastAsia"/>
          <w:sz w:val="28"/>
          <w:szCs w:val="28"/>
        </w:rPr>
        <w:t>C</w:t>
      </w:r>
      <w:r w:rsidR="00BE1882" w:rsidRPr="00701354">
        <w:rPr>
          <w:rFonts w:ascii="標楷體" w:eastAsia="標楷體" w:hAnsi="標楷體"/>
          <w:sz w:val="28"/>
          <w:szCs w:val="28"/>
        </w:rPr>
        <w:t>EPA</w:t>
      </w:r>
      <w:r w:rsidR="0056333C" w:rsidRPr="00701354">
        <w:rPr>
          <w:rFonts w:ascii="標楷體" w:eastAsia="標楷體" w:hAnsi="標楷體" w:hint="eastAsia"/>
          <w:sz w:val="28"/>
          <w:szCs w:val="28"/>
        </w:rPr>
        <w:t>的框架下</w:t>
      </w:r>
      <w:r w:rsidR="0056333C" w:rsidRPr="00701354">
        <w:rPr>
          <w:rFonts w:ascii="標楷體" w:eastAsia="標楷體" w:hAnsi="標楷體"/>
          <w:sz w:val="28"/>
          <w:szCs w:val="28"/>
        </w:rPr>
        <w:t>，</w:t>
      </w:r>
      <w:r w:rsidR="00BE1882" w:rsidRPr="00701354">
        <w:rPr>
          <w:rFonts w:ascii="標楷體" w:eastAsia="標楷體" w:hAnsi="標楷體" w:hint="eastAsia"/>
          <w:sz w:val="28"/>
          <w:szCs w:val="28"/>
        </w:rPr>
        <w:t>符合條件的香港檢測機構</w:t>
      </w:r>
      <w:r w:rsidR="00370570" w:rsidRPr="00701354">
        <w:rPr>
          <w:rFonts w:ascii="標楷體" w:eastAsia="標楷體" w:hAnsi="標楷體" w:hint="eastAsia"/>
          <w:sz w:val="28"/>
          <w:szCs w:val="28"/>
        </w:rPr>
        <w:t>可與內地指定機構</w:t>
      </w:r>
      <w:r w:rsidR="00E539A1" w:rsidRPr="00701354">
        <w:rPr>
          <w:rFonts w:ascii="標楷體" w:eastAsia="標楷體" w:hAnsi="標楷體" w:hint="eastAsia"/>
          <w:sz w:val="28"/>
          <w:szCs w:val="28"/>
        </w:rPr>
        <w:t>合作</w:t>
      </w:r>
      <w:r w:rsidR="00E539A1" w:rsidRPr="00701354">
        <w:rPr>
          <w:rFonts w:ascii="標楷體" w:eastAsia="標楷體" w:hAnsi="標楷體"/>
          <w:sz w:val="28"/>
          <w:szCs w:val="28"/>
        </w:rPr>
        <w:t>，</w:t>
      </w:r>
      <w:r w:rsidR="00E539A1" w:rsidRPr="00701354">
        <w:rPr>
          <w:rFonts w:ascii="標楷體" w:eastAsia="標楷體" w:hAnsi="標楷體" w:hint="eastAsia"/>
          <w:sz w:val="28"/>
          <w:szCs w:val="28"/>
        </w:rPr>
        <w:t>為</w:t>
      </w:r>
      <w:r w:rsidR="000E1EE6" w:rsidRPr="00701354">
        <w:rPr>
          <w:rFonts w:ascii="標楷體" w:eastAsia="標楷體" w:hAnsi="標楷體" w:hint="eastAsia"/>
          <w:sz w:val="28"/>
          <w:szCs w:val="28"/>
        </w:rPr>
        <w:t>「一帶一路」經貿合作區</w:t>
      </w:r>
      <w:r w:rsidR="00E539A1" w:rsidRPr="00701354">
        <w:rPr>
          <w:rFonts w:ascii="標楷體" w:eastAsia="標楷體" w:hAnsi="標楷體" w:hint="eastAsia"/>
          <w:sz w:val="28"/>
          <w:szCs w:val="28"/>
        </w:rPr>
        <w:t>內生產的CCC產品</w:t>
      </w:r>
      <w:r w:rsidR="00E539A1" w:rsidRPr="00701354">
        <w:rPr>
          <w:rFonts w:ascii="標楷體" w:eastAsia="標楷體" w:hAnsi="標楷體"/>
          <w:sz w:val="28"/>
          <w:szCs w:val="28"/>
        </w:rPr>
        <w:t>，</w:t>
      </w:r>
      <w:r w:rsidR="00E539A1" w:rsidRPr="00701354">
        <w:rPr>
          <w:rFonts w:ascii="標楷體" w:eastAsia="標楷體" w:hAnsi="標楷體" w:hint="eastAsia"/>
          <w:sz w:val="28"/>
          <w:szCs w:val="28"/>
        </w:rPr>
        <w:t>提供</w:t>
      </w:r>
      <w:r w:rsidR="000E1EE6" w:rsidRPr="00701354">
        <w:rPr>
          <w:rFonts w:ascii="標楷體" w:eastAsia="標楷體" w:hAnsi="標楷體"/>
          <w:sz w:val="28"/>
          <w:szCs w:val="28"/>
        </w:rPr>
        <w:t>檢測</w:t>
      </w:r>
      <w:r w:rsidR="000E1EE6" w:rsidRPr="00701354">
        <w:rPr>
          <w:rFonts w:ascii="標楷體" w:eastAsia="標楷體" w:hAnsi="標楷體" w:hint="eastAsia"/>
          <w:sz w:val="28"/>
          <w:szCs w:val="28"/>
        </w:rPr>
        <w:t>服務。</w:t>
      </w:r>
      <w:r w:rsidR="004F0DD7" w:rsidRPr="00701354">
        <w:rPr>
          <w:rFonts w:ascii="標楷體" w:eastAsia="標楷體" w:hAnsi="標楷體" w:hint="eastAsia"/>
          <w:sz w:val="28"/>
          <w:szCs w:val="28"/>
        </w:rPr>
        <w:t xml:space="preserve"> </w:t>
      </w:r>
      <w:r w:rsidR="006C7D1F" w:rsidRPr="00701354">
        <w:rPr>
          <w:rFonts w:ascii="標楷體" w:eastAsia="標楷體" w:hAnsi="標楷體" w:hint="eastAsia"/>
          <w:sz w:val="28"/>
          <w:szCs w:val="28"/>
        </w:rPr>
        <w:t>貴機構</w:t>
      </w:r>
      <w:r w:rsidR="00E539A1" w:rsidRPr="00701354">
        <w:rPr>
          <w:rFonts w:ascii="標楷體" w:eastAsia="標楷體" w:hAnsi="標楷體" w:hint="eastAsia"/>
          <w:sz w:val="28"/>
          <w:szCs w:val="28"/>
        </w:rPr>
        <w:t>有否興趣提供此等服務?</w:t>
      </w:r>
      <w:r w:rsidR="00E539A1" w:rsidRPr="00701354">
        <w:rPr>
          <w:rFonts w:ascii="標楷體" w:eastAsia="標楷體" w:hAnsi="標楷體"/>
          <w:sz w:val="28"/>
          <w:szCs w:val="28"/>
        </w:rPr>
        <w:t xml:space="preserve"> </w:t>
      </w:r>
      <w:r w:rsidR="00E539A1" w:rsidRPr="00701354">
        <w:rPr>
          <w:rFonts w:ascii="標楷體" w:eastAsia="標楷體" w:hAnsi="標楷體" w:hint="eastAsia"/>
          <w:sz w:val="28"/>
          <w:szCs w:val="28"/>
        </w:rPr>
        <w:t>貴機構</w:t>
      </w:r>
      <w:r w:rsidR="000E1EE6" w:rsidRPr="00701354">
        <w:rPr>
          <w:rFonts w:ascii="標楷體" w:eastAsia="標楷體" w:hAnsi="標楷體" w:hint="eastAsia"/>
          <w:sz w:val="28"/>
          <w:szCs w:val="28"/>
        </w:rPr>
        <w:t>認為如</w:t>
      </w:r>
      <w:r w:rsidR="00E539A1" w:rsidRPr="00701354">
        <w:rPr>
          <w:rFonts w:ascii="標楷體" w:eastAsia="標楷體" w:hAnsi="標楷體" w:hint="eastAsia"/>
          <w:sz w:val="28"/>
          <w:szCs w:val="28"/>
        </w:rPr>
        <w:t>尋求</w:t>
      </w:r>
      <w:r w:rsidR="000E1EE6" w:rsidRPr="00701354">
        <w:rPr>
          <w:rFonts w:ascii="標楷體" w:eastAsia="標楷體" w:hAnsi="標楷體" w:hint="eastAsia"/>
          <w:sz w:val="28"/>
          <w:szCs w:val="28"/>
        </w:rPr>
        <w:t>內地進一步</w:t>
      </w:r>
      <w:r w:rsidR="008E1F02" w:rsidRPr="00701354">
        <w:rPr>
          <w:rFonts w:ascii="標楷體" w:eastAsia="標楷體" w:hAnsi="標楷體" w:hint="eastAsia"/>
          <w:sz w:val="28"/>
          <w:szCs w:val="28"/>
        </w:rPr>
        <w:t>開放</w:t>
      </w:r>
      <w:r w:rsidR="000E1EE6" w:rsidRPr="00701354">
        <w:rPr>
          <w:rFonts w:ascii="標楷體" w:eastAsia="標楷體" w:hAnsi="標楷體"/>
          <w:sz w:val="28"/>
          <w:szCs w:val="28"/>
        </w:rPr>
        <w:t>「一帶一路」經貿合作區內的CCC</w:t>
      </w:r>
      <w:r w:rsidR="008E1F02" w:rsidRPr="00701354">
        <w:rPr>
          <w:rFonts w:ascii="標楷體" w:eastAsia="標楷體" w:hAnsi="標楷體"/>
          <w:sz w:val="28"/>
          <w:szCs w:val="28"/>
        </w:rPr>
        <w:t>產品生產廠</w:t>
      </w:r>
      <w:r w:rsidR="000E1EE6" w:rsidRPr="00701354">
        <w:rPr>
          <w:rFonts w:ascii="標楷體" w:eastAsia="標楷體" w:hAnsi="標楷體"/>
          <w:sz w:val="28"/>
          <w:szCs w:val="28"/>
        </w:rPr>
        <w:t>工廠檢查服務</w:t>
      </w:r>
      <w:r w:rsidR="008E1F02" w:rsidRPr="00701354">
        <w:rPr>
          <w:rFonts w:ascii="標楷體" w:eastAsia="標楷體" w:hAnsi="標楷體"/>
          <w:sz w:val="28"/>
          <w:szCs w:val="28"/>
        </w:rPr>
        <w:t>，</w:t>
      </w:r>
      <w:r w:rsidR="008E1F02" w:rsidRPr="00701354">
        <w:rPr>
          <w:rFonts w:ascii="標楷體" w:eastAsia="標楷體" w:hAnsi="標楷體" w:hint="eastAsia"/>
          <w:sz w:val="28"/>
          <w:szCs w:val="28"/>
        </w:rPr>
        <w:t>會否為香港檢測和認證業界帶來更多機</w:t>
      </w:r>
      <w:r w:rsidR="008E1F02" w:rsidRPr="00701354">
        <w:rPr>
          <w:rFonts w:ascii="標楷體" w:eastAsia="標楷體" w:hAnsi="標楷體"/>
          <w:sz w:val="28"/>
          <w:szCs w:val="28"/>
        </w:rPr>
        <w:t>遇？</w:t>
      </w:r>
      <w:r w:rsidR="008E1F02" w:rsidRPr="00701354">
        <w:rPr>
          <w:rFonts w:ascii="標楷體" w:eastAsia="標楷體" w:hAnsi="標楷體" w:hint="eastAsia"/>
          <w:sz w:val="28"/>
          <w:szCs w:val="28"/>
        </w:rPr>
        <w:t>如 貴機構希望進一步在</w:t>
      </w:r>
      <w:r w:rsidR="007F3176" w:rsidRPr="00701354">
        <w:rPr>
          <w:rFonts w:ascii="標楷體" w:eastAsia="標楷體" w:hAnsi="標楷體" w:hint="eastAsia"/>
          <w:sz w:val="28"/>
          <w:szCs w:val="28"/>
        </w:rPr>
        <w:t>「一帶一路」</w:t>
      </w:r>
      <w:r w:rsidR="00756DBC" w:rsidRPr="00701354">
        <w:rPr>
          <w:rFonts w:ascii="標楷體" w:eastAsia="標楷體" w:hAnsi="標楷體" w:hint="eastAsia"/>
          <w:sz w:val="28"/>
          <w:szCs w:val="28"/>
        </w:rPr>
        <w:t>經貿</w:t>
      </w:r>
      <w:r w:rsidR="008E1F02" w:rsidRPr="00701354">
        <w:rPr>
          <w:rFonts w:ascii="標楷體" w:eastAsia="標楷體" w:hAnsi="標楷體"/>
          <w:sz w:val="28"/>
          <w:szCs w:val="28"/>
        </w:rPr>
        <w:t>合作區</w:t>
      </w:r>
      <w:r w:rsidR="008E1F02" w:rsidRPr="00701354">
        <w:rPr>
          <w:rFonts w:ascii="標楷體" w:eastAsia="標楷體" w:hAnsi="標楷體" w:hint="eastAsia"/>
          <w:sz w:val="28"/>
          <w:szCs w:val="28"/>
        </w:rPr>
        <w:t>提供C</w:t>
      </w:r>
      <w:r w:rsidR="008E1F02" w:rsidRPr="00701354">
        <w:rPr>
          <w:rFonts w:ascii="標楷體" w:eastAsia="標楷體" w:hAnsi="標楷體"/>
          <w:sz w:val="28"/>
          <w:szCs w:val="28"/>
        </w:rPr>
        <w:t>CC/</w:t>
      </w:r>
      <w:r w:rsidR="008E1F02" w:rsidRPr="00701354">
        <w:rPr>
          <w:rFonts w:ascii="標楷體" w:eastAsia="標楷體" w:hAnsi="標楷體" w:hint="eastAsia"/>
          <w:sz w:val="28"/>
          <w:szCs w:val="28"/>
        </w:rPr>
        <w:t>其他</w:t>
      </w:r>
      <w:r w:rsidR="008E1F02" w:rsidRPr="00701354">
        <w:rPr>
          <w:rFonts w:ascii="標楷體" w:eastAsia="標楷體" w:hAnsi="標楷體"/>
          <w:sz w:val="28"/>
          <w:szCs w:val="28"/>
        </w:rPr>
        <w:t>檢測和認證</w:t>
      </w:r>
      <w:r w:rsidR="008E1F02" w:rsidRPr="00701354">
        <w:rPr>
          <w:rFonts w:ascii="標楷體" w:eastAsia="標楷體" w:hAnsi="標楷體" w:hint="eastAsia"/>
          <w:sz w:val="28"/>
          <w:szCs w:val="28"/>
        </w:rPr>
        <w:t>服務</w:t>
      </w:r>
      <w:r w:rsidR="008E1F02" w:rsidRPr="00701354">
        <w:rPr>
          <w:rFonts w:ascii="標楷體" w:eastAsia="標楷體" w:hAnsi="標楷體"/>
          <w:sz w:val="28"/>
          <w:szCs w:val="28"/>
        </w:rPr>
        <w:t>，</w:t>
      </w:r>
      <w:r w:rsidR="008E1F02" w:rsidRPr="00701354">
        <w:rPr>
          <w:rFonts w:ascii="標楷體" w:eastAsia="標楷體" w:hAnsi="標楷體" w:hint="eastAsia"/>
          <w:sz w:val="28"/>
          <w:szCs w:val="28"/>
        </w:rPr>
        <w:t>您認為存在</w:t>
      </w:r>
      <w:r w:rsidR="008E1F02" w:rsidRPr="00701354">
        <w:rPr>
          <w:rFonts w:ascii="標楷體" w:eastAsia="標楷體" w:hAnsi="標楷體"/>
          <w:sz w:val="28"/>
          <w:szCs w:val="28"/>
        </w:rPr>
        <w:t>什麼</w:t>
      </w:r>
      <w:r w:rsidR="008E1F02" w:rsidRPr="00701354">
        <w:rPr>
          <w:rFonts w:ascii="標楷體" w:eastAsia="標楷體" w:hAnsi="標楷體" w:hint="eastAsia"/>
          <w:sz w:val="28"/>
          <w:szCs w:val="28"/>
        </w:rPr>
        <w:t>具體問題</w:t>
      </w:r>
      <w:r w:rsidR="00E539A1" w:rsidRPr="00701354">
        <w:rPr>
          <w:rFonts w:ascii="標楷體" w:eastAsia="標楷體" w:hAnsi="標楷體" w:hint="eastAsia"/>
          <w:sz w:val="28"/>
          <w:szCs w:val="28"/>
        </w:rPr>
        <w:t>需要解決</w:t>
      </w:r>
      <w:r w:rsidR="006C7D1F" w:rsidRPr="00701354">
        <w:rPr>
          <w:rFonts w:ascii="標楷體" w:eastAsia="標楷體" w:hAnsi="標楷體"/>
          <w:sz w:val="28"/>
          <w:szCs w:val="28"/>
        </w:rPr>
        <w:t>？</w:t>
      </w:r>
    </w:p>
    <w:p w:rsidR="00775735" w:rsidRPr="00701354" w:rsidRDefault="00775735" w:rsidP="00F17251">
      <w:pPr>
        <w:snapToGrid w:val="0"/>
        <w:contextualSpacing/>
        <w:jc w:val="both"/>
      </w:pPr>
    </w:p>
    <w:p w:rsidR="00FA4C25" w:rsidRPr="00701354" w:rsidRDefault="00E539A1" w:rsidP="00F17251">
      <w:pPr>
        <w:tabs>
          <w:tab w:val="left" w:pos="1418"/>
        </w:tabs>
        <w:snapToGrid w:val="0"/>
        <w:ind w:leftChars="354" w:left="1416" w:hangingChars="202" w:hanging="56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01354">
        <w:rPr>
          <w:rFonts w:ascii="標楷體" w:eastAsia="標楷體" w:hAnsi="標楷體" w:hint="eastAsia"/>
          <w:sz w:val="28"/>
          <w:szCs w:val="28"/>
        </w:rPr>
        <w:t>(4)</w:t>
      </w:r>
      <w:r w:rsidR="00C205E3" w:rsidRPr="00701354">
        <w:rPr>
          <w:rFonts w:ascii="標楷體" w:eastAsia="標楷體" w:hAnsi="標楷體"/>
          <w:sz w:val="28"/>
          <w:szCs w:val="28"/>
        </w:rPr>
        <w:t xml:space="preserve"> </w:t>
      </w:r>
      <w:r w:rsidR="00DE4130" w:rsidRPr="00701354">
        <w:rPr>
          <w:rFonts w:ascii="標楷體" w:eastAsia="標楷體" w:hAnsi="標楷體" w:hint="eastAsia"/>
          <w:sz w:val="28"/>
          <w:szCs w:val="28"/>
        </w:rPr>
        <w:t>由於</w:t>
      </w:r>
      <w:r w:rsidR="00E3380B" w:rsidRPr="00701354">
        <w:rPr>
          <w:rFonts w:ascii="標楷體" w:eastAsia="標楷體" w:hAnsi="標楷體" w:hint="eastAsia"/>
          <w:sz w:val="28"/>
          <w:szCs w:val="28"/>
        </w:rPr>
        <w:t>內地的檢驗檢測機構資質認定(</w:t>
      </w:r>
      <w:r w:rsidR="00D7220E" w:rsidRPr="00701354">
        <w:rPr>
          <w:rFonts w:ascii="標楷體" w:eastAsia="標楷體" w:hAnsi="標楷體"/>
          <w:sz w:val="28"/>
          <w:szCs w:val="28"/>
        </w:rPr>
        <w:t>CMA</w:t>
      </w:r>
      <w:r w:rsidR="00E3380B" w:rsidRPr="00701354">
        <w:rPr>
          <w:rFonts w:ascii="標楷體" w:eastAsia="標楷體" w:hAnsi="標楷體"/>
          <w:sz w:val="28"/>
          <w:szCs w:val="28"/>
        </w:rPr>
        <w:t>)</w:t>
      </w:r>
      <w:r w:rsidR="00D7220E" w:rsidRPr="00701354">
        <w:rPr>
          <w:rFonts w:ascii="標楷體" w:eastAsia="標楷體" w:hAnsi="標楷體"/>
          <w:sz w:val="28"/>
          <w:szCs w:val="28"/>
        </w:rPr>
        <w:t>資格</w:t>
      </w:r>
      <w:r w:rsidR="00DE4130" w:rsidRPr="00701354">
        <w:rPr>
          <w:rFonts w:ascii="標楷體" w:eastAsia="標楷體" w:hAnsi="標楷體" w:hint="eastAsia"/>
          <w:sz w:val="28"/>
          <w:szCs w:val="28"/>
        </w:rPr>
        <w:t>不適</w:t>
      </w:r>
      <w:r w:rsidR="00861168" w:rsidRPr="00701354">
        <w:rPr>
          <w:rFonts w:ascii="標楷體" w:eastAsia="標楷體" w:hAnsi="標楷體" w:hint="eastAsia"/>
          <w:sz w:val="28"/>
          <w:szCs w:val="28"/>
        </w:rPr>
        <w:t>用</w:t>
      </w:r>
      <w:r w:rsidR="00DE4130" w:rsidRPr="00701354">
        <w:rPr>
          <w:rFonts w:ascii="標楷體" w:eastAsia="標楷體" w:hAnsi="標楷體" w:hint="eastAsia"/>
          <w:sz w:val="28"/>
          <w:szCs w:val="28"/>
        </w:rPr>
        <w:t>於位於香</w:t>
      </w:r>
      <w:r w:rsidR="00DE4130" w:rsidRPr="00701354">
        <w:rPr>
          <w:rFonts w:ascii="標楷體" w:eastAsia="標楷體" w:hAnsi="標楷體"/>
          <w:sz w:val="28"/>
          <w:szCs w:val="28"/>
        </w:rPr>
        <w:t>港</w:t>
      </w:r>
      <w:r w:rsidR="00DE4130" w:rsidRPr="00701354">
        <w:rPr>
          <w:rFonts w:ascii="標楷體" w:eastAsia="標楷體" w:hAnsi="標楷體" w:hint="eastAsia"/>
          <w:sz w:val="28"/>
          <w:szCs w:val="28"/>
        </w:rPr>
        <w:t>的</w:t>
      </w:r>
      <w:r w:rsidR="00DE4130" w:rsidRPr="00701354">
        <w:rPr>
          <w:rFonts w:ascii="標楷體" w:eastAsia="標楷體" w:hAnsi="標楷體"/>
          <w:sz w:val="28"/>
          <w:szCs w:val="28"/>
        </w:rPr>
        <w:t>檢</w:t>
      </w:r>
      <w:r w:rsidR="00DE4130" w:rsidRPr="00701354">
        <w:rPr>
          <w:rFonts w:ascii="標楷體" w:eastAsia="標楷體" w:hAnsi="標楷體" w:hint="eastAsia"/>
          <w:sz w:val="28"/>
          <w:szCs w:val="28"/>
        </w:rPr>
        <w:t>驗</w:t>
      </w:r>
      <w:r w:rsidR="00DE4130" w:rsidRPr="00701354">
        <w:rPr>
          <w:rFonts w:ascii="標楷體" w:eastAsia="標楷體" w:hAnsi="標楷體"/>
          <w:sz w:val="28"/>
          <w:szCs w:val="28"/>
        </w:rPr>
        <w:t>檢測機構</w:t>
      </w:r>
      <w:r w:rsidR="00D7220E" w:rsidRPr="00701354">
        <w:rPr>
          <w:rFonts w:ascii="標楷體" w:eastAsia="標楷體" w:hAnsi="標楷體"/>
          <w:sz w:val="28"/>
          <w:szCs w:val="28"/>
        </w:rPr>
        <w:t>，</w:t>
      </w:r>
      <w:r w:rsidR="00DE4130" w:rsidRPr="00701354">
        <w:rPr>
          <w:rFonts w:ascii="標楷體" w:eastAsia="標楷體" w:hAnsi="標楷體" w:hint="eastAsia"/>
          <w:sz w:val="28"/>
          <w:szCs w:val="28"/>
        </w:rPr>
        <w:t>位於香港的</w:t>
      </w:r>
      <w:r w:rsidR="00DE4130" w:rsidRPr="00701354">
        <w:rPr>
          <w:rFonts w:ascii="標楷體" w:eastAsia="標楷體" w:hAnsi="標楷體"/>
          <w:sz w:val="28"/>
          <w:szCs w:val="28"/>
        </w:rPr>
        <w:t>檢</w:t>
      </w:r>
      <w:r w:rsidR="00DE4130" w:rsidRPr="00701354">
        <w:rPr>
          <w:rFonts w:ascii="標楷體" w:eastAsia="標楷體" w:hAnsi="標楷體" w:hint="eastAsia"/>
          <w:sz w:val="28"/>
          <w:szCs w:val="28"/>
        </w:rPr>
        <w:t>驗</w:t>
      </w:r>
      <w:r w:rsidR="00DE4130" w:rsidRPr="00701354">
        <w:rPr>
          <w:rFonts w:ascii="標楷體" w:eastAsia="標楷體" w:hAnsi="標楷體"/>
          <w:sz w:val="28"/>
          <w:szCs w:val="28"/>
        </w:rPr>
        <w:t>檢測機構</w:t>
      </w:r>
      <w:r w:rsidR="00D7220E" w:rsidRPr="00701354">
        <w:rPr>
          <w:rFonts w:ascii="標楷體" w:eastAsia="標楷體" w:hAnsi="標楷體"/>
          <w:sz w:val="28"/>
          <w:szCs w:val="28"/>
        </w:rPr>
        <w:t>所發出的報告不獲授權附上CMA標記，</w:t>
      </w:r>
      <w:r w:rsidR="00D7220E" w:rsidRPr="00701354">
        <w:rPr>
          <w:rFonts w:ascii="標楷體" w:eastAsia="標楷體" w:hAnsi="標楷體" w:hint="eastAsia"/>
          <w:sz w:val="28"/>
          <w:szCs w:val="28"/>
        </w:rPr>
        <w:t>因此</w:t>
      </w:r>
      <w:r w:rsidR="00BB1C43" w:rsidRPr="00701354">
        <w:rPr>
          <w:rFonts w:ascii="標楷體" w:eastAsia="標楷體" w:hAnsi="標楷體"/>
          <w:sz w:val="28"/>
          <w:szCs w:val="28"/>
        </w:rPr>
        <w:t>香港的合格評定結果未獲內地廣泛認受。</w:t>
      </w:r>
      <w:r w:rsidR="00DE4130" w:rsidRPr="00701354">
        <w:rPr>
          <w:rFonts w:ascii="標楷體" w:eastAsia="標楷體" w:hAnsi="標楷體" w:hint="eastAsia"/>
          <w:sz w:val="28"/>
          <w:szCs w:val="28"/>
        </w:rPr>
        <w:t xml:space="preserve"> 貴機構有否處理此問題的具體建議?</w:t>
      </w:r>
      <w:r w:rsidR="00DE4130" w:rsidRPr="00701354">
        <w:rPr>
          <w:rFonts w:ascii="標楷體" w:eastAsia="標楷體" w:hAnsi="標楷體"/>
          <w:sz w:val="28"/>
          <w:szCs w:val="28"/>
        </w:rPr>
        <w:t xml:space="preserve"> </w:t>
      </w:r>
    </w:p>
    <w:p w:rsidR="00FA4C25" w:rsidRPr="00701354" w:rsidRDefault="00FA4C25" w:rsidP="00F17251">
      <w:pPr>
        <w:snapToGrid w:val="0"/>
        <w:contextualSpacing/>
        <w:jc w:val="both"/>
        <w:rPr>
          <w:rFonts w:ascii="標楷體" w:eastAsia="標楷體" w:hAnsi="標楷體"/>
        </w:rPr>
      </w:pPr>
    </w:p>
    <w:p w:rsidR="00E00E0B" w:rsidRPr="00701354" w:rsidRDefault="00F17251" w:rsidP="00F17251">
      <w:pPr>
        <w:tabs>
          <w:tab w:val="left" w:pos="709"/>
        </w:tabs>
        <w:snapToGrid w:val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ab/>
      </w:r>
      <w:r w:rsidR="00F66658" w:rsidRPr="00701354">
        <w:rPr>
          <w:rFonts w:ascii="標楷體" w:eastAsia="標楷體" w:hAnsi="標楷體" w:hint="eastAsia"/>
          <w:sz w:val="28"/>
          <w:szCs w:val="28"/>
        </w:rPr>
        <w:t>我們歡迎業界提出其他意見，及</w:t>
      </w:r>
      <w:r w:rsidR="00F66658" w:rsidRPr="00701354">
        <w:rPr>
          <w:rFonts w:ascii="標楷體" w:eastAsia="標楷體" w:hAnsi="標楷體"/>
          <w:sz w:val="28"/>
          <w:szCs w:val="28"/>
        </w:rPr>
        <w:t>/</w:t>
      </w:r>
      <w:r w:rsidR="00F66658" w:rsidRPr="00701354">
        <w:rPr>
          <w:rFonts w:ascii="標楷體" w:eastAsia="標楷體" w:hAnsi="標楷體" w:hint="eastAsia"/>
          <w:sz w:val="28"/>
          <w:szCs w:val="28"/>
        </w:rPr>
        <w:t>或就現時為內地提供檢測認證服務所遇到的困難，列舉具體例子，以助探討解決方案。</w:t>
      </w:r>
      <w:r w:rsidR="00F66658" w:rsidRPr="00701354">
        <w:rPr>
          <w:rFonts w:ascii="標楷體" w:eastAsia="標楷體" w:hAnsi="標楷體"/>
          <w:sz w:val="28"/>
          <w:szCs w:val="28"/>
        </w:rPr>
        <w:t xml:space="preserve"> </w:t>
      </w:r>
    </w:p>
    <w:p w:rsidR="00066D0B" w:rsidRPr="00701354" w:rsidRDefault="00066D0B" w:rsidP="00F17251">
      <w:pPr>
        <w:snapToGrid w:val="0"/>
        <w:contextualSpacing/>
        <w:jc w:val="both"/>
        <w:rPr>
          <w:rFonts w:ascii="標楷體" w:eastAsia="標楷體" w:hAnsi="標楷體"/>
        </w:rPr>
      </w:pPr>
    </w:p>
    <w:p w:rsidR="00325AC1" w:rsidRPr="00701354" w:rsidRDefault="00F17251" w:rsidP="00F17251">
      <w:pPr>
        <w:tabs>
          <w:tab w:val="left" w:pos="709"/>
        </w:tabs>
        <w:snapToGrid w:val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>
        <w:rPr>
          <w:rFonts w:ascii="標楷體" w:eastAsia="標楷體" w:hAnsi="標楷體"/>
          <w:sz w:val="28"/>
          <w:szCs w:val="28"/>
        </w:rPr>
        <w:tab/>
      </w:r>
      <w:r w:rsidR="00F66658" w:rsidRPr="00701354">
        <w:rPr>
          <w:rFonts w:ascii="標楷體" w:eastAsia="標楷體" w:hAnsi="標楷體" w:hint="eastAsia"/>
          <w:sz w:val="28"/>
          <w:szCs w:val="28"/>
        </w:rPr>
        <w:t>煩請</w:t>
      </w:r>
      <w:r w:rsidR="00793527" w:rsidRPr="00701354">
        <w:rPr>
          <w:rFonts w:ascii="標楷體" w:eastAsia="標楷體" w:hAnsi="標楷體"/>
          <w:sz w:val="28"/>
          <w:szCs w:val="28"/>
        </w:rPr>
        <w:t xml:space="preserve"> </w:t>
      </w:r>
      <w:r w:rsidR="00F66658" w:rsidRPr="00701354">
        <w:rPr>
          <w:rFonts w:ascii="標楷體" w:eastAsia="標楷體" w:hAnsi="標楷體" w:hint="eastAsia"/>
          <w:sz w:val="28"/>
          <w:szCs w:val="28"/>
        </w:rPr>
        <w:t>貴機構於</w:t>
      </w:r>
      <w:r w:rsidR="00590C9A" w:rsidRPr="00701354">
        <w:rPr>
          <w:rFonts w:ascii="標楷體" w:eastAsia="標楷體" w:hAnsi="標楷體"/>
          <w:sz w:val="28"/>
          <w:szCs w:val="28"/>
        </w:rPr>
        <w:t>2020</w:t>
      </w:r>
      <w:r w:rsidR="00F66658" w:rsidRPr="00701354">
        <w:rPr>
          <w:rFonts w:ascii="標楷體" w:eastAsia="標楷體" w:hAnsi="標楷體" w:hint="eastAsia"/>
          <w:sz w:val="28"/>
          <w:szCs w:val="28"/>
        </w:rPr>
        <w:t>年11月</w:t>
      </w:r>
      <w:r w:rsidR="00DE4130" w:rsidRPr="00701354">
        <w:rPr>
          <w:rFonts w:ascii="標楷體" w:eastAsia="標楷體" w:hAnsi="標楷體" w:hint="eastAsia"/>
          <w:sz w:val="28"/>
          <w:szCs w:val="28"/>
        </w:rPr>
        <w:t>23</w:t>
      </w:r>
      <w:r w:rsidR="00F66658" w:rsidRPr="00701354">
        <w:rPr>
          <w:rFonts w:ascii="標楷體" w:eastAsia="標楷體" w:hAnsi="標楷體" w:hint="eastAsia"/>
          <w:sz w:val="28"/>
          <w:szCs w:val="28"/>
        </w:rPr>
        <w:t>日</w:t>
      </w:r>
      <w:r w:rsidR="00F66658" w:rsidRPr="00701354">
        <w:rPr>
          <w:rFonts w:ascii="標楷體" w:eastAsia="標楷體" w:hAnsi="標楷體"/>
          <w:sz w:val="28"/>
          <w:szCs w:val="28"/>
        </w:rPr>
        <w:t>(</w:t>
      </w:r>
      <w:r w:rsidR="00F66658" w:rsidRPr="00701354">
        <w:rPr>
          <w:rFonts w:ascii="標楷體" w:eastAsia="標楷體" w:hAnsi="標楷體" w:hint="eastAsia"/>
          <w:sz w:val="28"/>
          <w:szCs w:val="28"/>
        </w:rPr>
        <w:t>星期一</w:t>
      </w:r>
      <w:r w:rsidR="00F66658" w:rsidRPr="00701354">
        <w:rPr>
          <w:rFonts w:ascii="標楷體" w:eastAsia="標楷體" w:hAnsi="標楷體"/>
          <w:sz w:val="28"/>
          <w:szCs w:val="28"/>
        </w:rPr>
        <w:t>)</w:t>
      </w:r>
      <w:r w:rsidR="00F66658" w:rsidRPr="00701354">
        <w:rPr>
          <w:rFonts w:ascii="標楷體" w:eastAsia="標楷體" w:hAnsi="標楷體" w:hint="eastAsia"/>
          <w:sz w:val="28"/>
          <w:szCs w:val="28"/>
        </w:rPr>
        <w:t>或之前，把意見電郵至</w:t>
      </w:r>
      <w:hyperlink r:id="rId8" w:history="1">
        <w:r w:rsidR="00F66658" w:rsidRPr="0075172F">
          <w:rPr>
            <w:rStyle w:val="aa"/>
            <w:rFonts w:ascii="標楷體" w:eastAsia="標楷體" w:hAnsi="標楷體"/>
            <w:sz w:val="28"/>
            <w:szCs w:val="28"/>
          </w:rPr>
          <w:t>secretariat_hkctc@itc.gov.hk</w:t>
        </w:r>
      </w:hyperlink>
      <w:r w:rsidR="00F66658" w:rsidRPr="00701354">
        <w:rPr>
          <w:rFonts w:ascii="標楷體" w:eastAsia="標楷體" w:hAnsi="標楷體" w:hint="eastAsia"/>
          <w:sz w:val="28"/>
          <w:szCs w:val="28"/>
        </w:rPr>
        <w:t>，或傳真至</w:t>
      </w:r>
      <w:r w:rsidR="00F66658" w:rsidRPr="00701354">
        <w:rPr>
          <w:rFonts w:ascii="標楷體" w:eastAsia="標楷體" w:hAnsi="標楷體"/>
          <w:sz w:val="28"/>
          <w:szCs w:val="28"/>
        </w:rPr>
        <w:t>(852) 3691 8655</w:t>
      </w:r>
      <w:r w:rsidR="00F66658" w:rsidRPr="00701354">
        <w:rPr>
          <w:rFonts w:ascii="標楷體" w:eastAsia="標楷體" w:hAnsi="標楷體" w:hint="eastAsia"/>
          <w:sz w:val="28"/>
          <w:szCs w:val="28"/>
        </w:rPr>
        <w:t>。如有任何查詢，請與本局助理秘書長何偉斯</w:t>
      </w:r>
      <w:r w:rsidR="00B644B5" w:rsidRPr="00701354">
        <w:rPr>
          <w:rFonts w:ascii="標楷體" w:eastAsia="標楷體" w:hAnsi="標楷體" w:hint="eastAsia"/>
          <w:sz w:val="28"/>
          <w:szCs w:val="28"/>
        </w:rPr>
        <w:t>小姐</w:t>
      </w:r>
      <w:r w:rsidR="00F66658" w:rsidRPr="00701354">
        <w:rPr>
          <w:rFonts w:ascii="標楷體" w:eastAsia="標楷體" w:hAnsi="標楷體" w:hint="eastAsia"/>
          <w:sz w:val="28"/>
          <w:szCs w:val="28"/>
        </w:rPr>
        <w:t>聯絡</w:t>
      </w:r>
      <w:r w:rsidR="00F66658" w:rsidRPr="00701354">
        <w:rPr>
          <w:rFonts w:ascii="標楷體" w:eastAsia="標楷體" w:hAnsi="標楷體"/>
          <w:sz w:val="28"/>
          <w:szCs w:val="28"/>
        </w:rPr>
        <w:t>(</w:t>
      </w:r>
      <w:r w:rsidR="00F66658" w:rsidRPr="00701354">
        <w:rPr>
          <w:rFonts w:ascii="標楷體" w:eastAsia="標楷體" w:hAnsi="標楷體" w:hint="eastAsia"/>
          <w:sz w:val="28"/>
          <w:szCs w:val="28"/>
        </w:rPr>
        <w:t>電話：</w:t>
      </w:r>
      <w:r w:rsidR="00F66658" w:rsidRPr="00701354">
        <w:rPr>
          <w:rFonts w:ascii="標楷體" w:eastAsia="標楷體" w:hAnsi="標楷體"/>
          <w:sz w:val="28"/>
          <w:szCs w:val="28"/>
        </w:rPr>
        <w:t>2</w:t>
      </w:r>
      <w:r w:rsidR="00F66658" w:rsidRPr="00701354">
        <w:rPr>
          <w:rFonts w:ascii="標楷體" w:eastAsia="標楷體" w:hAnsi="標楷體" w:hint="eastAsia"/>
          <w:sz w:val="28"/>
          <w:szCs w:val="28"/>
        </w:rPr>
        <w:t>180</w:t>
      </w:r>
      <w:r w:rsidR="00F66658" w:rsidRPr="00701354">
        <w:rPr>
          <w:rFonts w:ascii="標楷體" w:eastAsia="標楷體" w:hAnsi="標楷體"/>
          <w:sz w:val="28"/>
          <w:szCs w:val="28"/>
        </w:rPr>
        <w:t xml:space="preserve"> </w:t>
      </w:r>
      <w:r w:rsidR="00F66658" w:rsidRPr="00701354">
        <w:rPr>
          <w:rFonts w:ascii="標楷體" w:eastAsia="標楷體" w:hAnsi="標楷體" w:hint="eastAsia"/>
          <w:sz w:val="28"/>
          <w:szCs w:val="28"/>
        </w:rPr>
        <w:t>9073，電郵：</w:t>
      </w:r>
      <w:hyperlink r:id="rId9" w:history="1">
        <w:r w:rsidR="00325AC1" w:rsidRPr="00701354">
          <w:rPr>
            <w:rStyle w:val="aa"/>
            <w:rFonts w:ascii="標楷體" w:eastAsia="標楷體" w:hAnsi="標楷體"/>
            <w:sz w:val="28"/>
            <w:szCs w:val="28"/>
          </w:rPr>
          <w:t>natalie.ho@itc.gov.hk</w:t>
        </w:r>
      </w:hyperlink>
      <w:r w:rsidR="00F66658" w:rsidRPr="00701354">
        <w:rPr>
          <w:rFonts w:ascii="標楷體" w:eastAsia="標楷體" w:hAnsi="標楷體" w:hint="eastAsia"/>
          <w:sz w:val="28"/>
          <w:szCs w:val="28"/>
        </w:rPr>
        <w:t>。</w:t>
      </w:r>
      <w:r w:rsidR="00374752" w:rsidRPr="00701354">
        <w:rPr>
          <w:rFonts w:ascii="標楷體" w:eastAsia="標楷體" w:hAnsi="標楷體" w:hint="eastAsia"/>
          <w:sz w:val="28"/>
          <w:szCs w:val="28"/>
        </w:rPr>
        <w:t>)</w:t>
      </w:r>
    </w:p>
    <w:p w:rsidR="00701354" w:rsidRDefault="00701354" w:rsidP="00F17251">
      <w:pPr>
        <w:snapToGrid w:val="0"/>
        <w:contextualSpacing/>
        <w:jc w:val="both"/>
      </w:pPr>
    </w:p>
    <w:p w:rsidR="00DC7654" w:rsidRDefault="00DC7654" w:rsidP="00F17251">
      <w:pPr>
        <w:snapToGrid w:val="0"/>
        <w:contextualSpacing/>
        <w:jc w:val="both"/>
      </w:pPr>
    </w:p>
    <w:p w:rsidR="007C48AC" w:rsidRPr="00701354" w:rsidRDefault="007C48AC" w:rsidP="00F17251">
      <w:pPr>
        <w:snapToGrid w:val="0"/>
        <w:contextualSpacing/>
        <w:jc w:val="both"/>
      </w:pPr>
    </w:p>
    <w:p w:rsidR="00B2482F" w:rsidRPr="00701354" w:rsidRDefault="00F66658" w:rsidP="00F17251">
      <w:pPr>
        <w:snapToGrid w:val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01354">
        <w:rPr>
          <w:rFonts w:ascii="標楷體" w:eastAsia="標楷體" w:hAnsi="標楷體" w:hint="eastAsia"/>
          <w:sz w:val="28"/>
          <w:szCs w:val="28"/>
        </w:rPr>
        <w:t>香港檢測和認證局秘書處</w:t>
      </w:r>
    </w:p>
    <w:p w:rsidR="001C0FD5" w:rsidRPr="00701354" w:rsidRDefault="00701354" w:rsidP="00F17251">
      <w:pPr>
        <w:snapToGrid w:val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01354">
        <w:rPr>
          <w:rFonts w:ascii="標楷體" w:eastAsia="標楷體" w:hAnsi="標楷體" w:hint="eastAsia"/>
          <w:sz w:val="28"/>
          <w:szCs w:val="28"/>
          <w:lang w:eastAsia="zh-HK"/>
        </w:rPr>
        <w:t>二零二零年十一月二日</w:t>
      </w:r>
    </w:p>
    <w:p w:rsidR="001C0FD5" w:rsidRPr="00701354" w:rsidRDefault="001C0FD5" w:rsidP="00F17251">
      <w:pPr>
        <w:snapToGrid w:val="0"/>
        <w:contextualSpacing/>
        <w:sectPr w:rsidR="001C0FD5" w:rsidRPr="00701354" w:rsidSect="007C48AC">
          <w:footerReference w:type="defaul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AndChars" w:linePitch="360"/>
        </w:sectPr>
      </w:pPr>
    </w:p>
    <w:p w:rsidR="00A46CD6" w:rsidRPr="004535AF" w:rsidRDefault="00A46CD6" w:rsidP="00F17251">
      <w:pPr>
        <w:snapToGrid w:val="0"/>
        <w:contextualSpacing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4535AF">
        <w:rPr>
          <w:rFonts w:ascii="標楷體" w:eastAsia="標楷體" w:hAnsi="標楷體" w:hint="eastAsia"/>
          <w:sz w:val="28"/>
          <w:szCs w:val="28"/>
          <w:u w:val="single"/>
        </w:rPr>
        <w:lastRenderedPageBreak/>
        <w:t>附件</w:t>
      </w:r>
    </w:p>
    <w:p w:rsidR="00A46CD6" w:rsidRPr="00963F6E" w:rsidRDefault="00A46CD6" w:rsidP="00F17251">
      <w:pPr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4535AF">
        <w:rPr>
          <w:rFonts w:ascii="標楷體" w:eastAsia="標楷體" w:hAnsi="標楷體" w:hint="eastAsia"/>
          <w:b/>
          <w:sz w:val="28"/>
          <w:szCs w:val="28"/>
        </w:rPr>
        <w:t>參考</w:t>
      </w:r>
      <w:r w:rsidRPr="004535AF">
        <w:rPr>
          <w:rFonts w:ascii="標楷體" w:eastAsia="標楷體" w:hAnsi="標楷體"/>
          <w:b/>
          <w:sz w:val="28"/>
          <w:szCs w:val="28"/>
        </w:rPr>
        <w:t>資料</w:t>
      </w:r>
    </w:p>
    <w:p w:rsidR="00BC3205" w:rsidRDefault="00BC3205" w:rsidP="00F17251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BC3205" w:rsidRDefault="00BC3205" w:rsidP="00F17251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A46CD6" w:rsidRPr="004535AF" w:rsidRDefault="00A46CD6" w:rsidP="00F17251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4535AF">
        <w:rPr>
          <w:rFonts w:ascii="標楷體" w:eastAsia="標楷體" w:hAnsi="標楷體" w:hint="eastAsia"/>
          <w:b/>
          <w:sz w:val="28"/>
          <w:szCs w:val="28"/>
        </w:rPr>
        <w:t>(A)</w:t>
      </w:r>
      <w:r w:rsidRPr="004535AF">
        <w:rPr>
          <w:rFonts w:ascii="標楷體" w:eastAsia="標楷體" w:hAnsi="標楷體"/>
          <w:b/>
          <w:sz w:val="28"/>
          <w:szCs w:val="28"/>
        </w:rPr>
        <w:t xml:space="preserve"> </w:t>
      </w:r>
      <w:r w:rsidRPr="004535AF">
        <w:rPr>
          <w:rFonts w:ascii="標楷體" w:eastAsia="標楷體" w:hAnsi="標楷體" w:hint="eastAsia"/>
          <w:b/>
          <w:sz w:val="28"/>
          <w:szCs w:val="28"/>
        </w:rPr>
        <w:t>有關大灣區城市的產業佈局</w:t>
      </w:r>
    </w:p>
    <w:p w:rsidR="00A46CD6" w:rsidRPr="004535AF" w:rsidRDefault="00A46CD6" w:rsidP="00F17251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4535AF">
        <w:rPr>
          <w:rFonts w:ascii="標楷體" w:eastAsia="標楷體" w:hAnsi="標楷體" w:hint="eastAsia"/>
          <w:sz w:val="28"/>
          <w:szCs w:val="28"/>
        </w:rPr>
        <w:t>大灣區城市各有不同的產業佈局，各有獨特優勢。請參閱以下香港貿易發展局網頁顯示的產業佈局資料整合。</w:t>
      </w:r>
    </w:p>
    <w:p w:rsidR="004535AF" w:rsidRPr="004535AF" w:rsidRDefault="004535AF" w:rsidP="00F17251">
      <w:pPr>
        <w:snapToGrid w:val="0"/>
        <w:contextualSpacing/>
        <w:rPr>
          <w:rFonts w:ascii="標楷體" w:eastAsia="標楷體" w:hAnsi="標楷體"/>
        </w:rPr>
      </w:pPr>
    </w:p>
    <w:p w:rsidR="00A46CD6" w:rsidRPr="004535AF" w:rsidRDefault="00A46CD6" w:rsidP="00F17251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4535AF">
        <w:rPr>
          <w:rFonts w:ascii="標楷體" w:eastAsia="標楷體" w:hAnsi="標楷體" w:hint="eastAsia"/>
          <w:b/>
          <w:sz w:val="28"/>
          <w:szCs w:val="28"/>
        </w:rPr>
        <w:t>大灣區城市的產業佈局</w:t>
      </w:r>
    </w:p>
    <w:tbl>
      <w:tblPr>
        <w:tblStyle w:val="ab"/>
        <w:tblW w:w="13183" w:type="dxa"/>
        <w:tblInd w:w="-5" w:type="dxa"/>
        <w:tblLook w:val="04A0" w:firstRow="1" w:lastRow="0" w:firstColumn="1" w:lastColumn="0" w:noHBand="0" w:noVBand="1"/>
      </w:tblPr>
      <w:tblGrid>
        <w:gridCol w:w="2411"/>
        <w:gridCol w:w="992"/>
        <w:gridCol w:w="9780"/>
      </w:tblGrid>
      <w:tr w:rsidR="00A46CD6" w:rsidRPr="004535AF" w:rsidTr="00BC3205">
        <w:tc>
          <w:tcPr>
            <w:tcW w:w="2411" w:type="dxa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b/>
                <w:sz w:val="28"/>
                <w:szCs w:val="28"/>
              </w:rPr>
              <w:t>地理位置</w:t>
            </w:r>
          </w:p>
        </w:tc>
        <w:tc>
          <w:tcPr>
            <w:tcW w:w="992" w:type="dxa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b/>
                <w:sz w:val="28"/>
                <w:szCs w:val="28"/>
              </w:rPr>
              <w:t>城市</w:t>
            </w:r>
          </w:p>
        </w:tc>
        <w:tc>
          <w:tcPr>
            <w:tcW w:w="9780" w:type="dxa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b/>
                <w:sz w:val="28"/>
                <w:szCs w:val="28"/>
              </w:rPr>
              <w:t>產業佈局</w:t>
            </w:r>
          </w:p>
        </w:tc>
      </w:tr>
      <w:tr w:rsidR="00A46CD6" w:rsidRPr="004535AF" w:rsidTr="00BC3205">
        <w:tc>
          <w:tcPr>
            <w:tcW w:w="2411" w:type="dxa"/>
            <w:vMerge w:val="restart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  <w:p w:rsidR="00866EC7" w:rsidRDefault="00866EC7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  <w:p w:rsidR="00866EC7" w:rsidRPr="004535AF" w:rsidRDefault="00866EC7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東岸</w:t>
            </w:r>
          </w:p>
        </w:tc>
        <w:tc>
          <w:tcPr>
            <w:tcW w:w="992" w:type="dxa"/>
          </w:tcPr>
          <w:p w:rsidR="003A2AAD" w:rsidRDefault="003A2AAD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東莞</w:t>
            </w:r>
          </w:p>
        </w:tc>
        <w:tc>
          <w:tcPr>
            <w:tcW w:w="9780" w:type="dxa"/>
          </w:tcPr>
          <w:p w:rsidR="00A46CD6" w:rsidRPr="004535AF" w:rsidRDefault="00A46CD6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世界知名的製造業基地、內地重要的出口基地。東莞五大支柱產業分別是電子信息、電氣機械及設備、紡織服裝鞋帽、食品飲料加工、造紙及紙製，另有四個特色產業，包括玩具及文體用品製造、傢俱製造、化工製品製造以及包裝印刷。</w:t>
            </w:r>
          </w:p>
        </w:tc>
      </w:tr>
      <w:tr w:rsidR="00A46CD6" w:rsidRPr="004535AF" w:rsidTr="00BC3205">
        <w:tc>
          <w:tcPr>
            <w:tcW w:w="2411" w:type="dxa"/>
            <w:vMerge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惠州</w:t>
            </w:r>
          </w:p>
        </w:tc>
        <w:tc>
          <w:tcPr>
            <w:tcW w:w="9780" w:type="dxa"/>
          </w:tcPr>
          <w:p w:rsidR="00A46CD6" w:rsidRPr="004535AF" w:rsidRDefault="00A46CD6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石油化工及電子信息產業基地。此外，惠州致力成為全球重要的高能環保電池生產基地。</w:t>
            </w:r>
          </w:p>
        </w:tc>
      </w:tr>
      <w:tr w:rsidR="00A46CD6" w:rsidRPr="004535AF" w:rsidTr="00BC3205">
        <w:tc>
          <w:tcPr>
            <w:tcW w:w="2411" w:type="dxa"/>
            <w:vMerge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深圳</w:t>
            </w:r>
          </w:p>
        </w:tc>
        <w:tc>
          <w:tcPr>
            <w:tcW w:w="9780" w:type="dxa"/>
          </w:tcPr>
          <w:p w:rsidR="00A46CD6" w:rsidRPr="004535AF" w:rsidRDefault="00A46CD6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高新技術研發和製造基地。</w:t>
            </w:r>
          </w:p>
        </w:tc>
      </w:tr>
      <w:tr w:rsidR="00A46CD6" w:rsidRPr="004535AF" w:rsidTr="00BC3205">
        <w:tc>
          <w:tcPr>
            <w:tcW w:w="2411" w:type="dxa"/>
            <w:vMerge w:val="restart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  <w:p w:rsidR="00A46CD6" w:rsidRPr="004535AF" w:rsidRDefault="00E174A7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西岸</w:t>
            </w:r>
          </w:p>
        </w:tc>
        <w:tc>
          <w:tcPr>
            <w:tcW w:w="992" w:type="dxa"/>
          </w:tcPr>
          <w:p w:rsidR="004535AF" w:rsidRDefault="004535AF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珠海</w:t>
            </w:r>
          </w:p>
        </w:tc>
        <w:tc>
          <w:tcPr>
            <w:tcW w:w="9780" w:type="dxa"/>
          </w:tcPr>
          <w:p w:rsidR="00A46CD6" w:rsidRPr="004535AF" w:rsidRDefault="00A46CD6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珠海支柱產業包括電子信息、生物醫藥、家電、電力能源、石油化工和精密機械。近年亦致力發展高端製造業，包括海洋工程、航空航天、軌道交通、新能源汽車裝備等領域。</w:t>
            </w:r>
          </w:p>
        </w:tc>
      </w:tr>
      <w:tr w:rsidR="00A46CD6" w:rsidRPr="004535AF" w:rsidTr="00BC3205">
        <w:tc>
          <w:tcPr>
            <w:tcW w:w="2411" w:type="dxa"/>
            <w:vMerge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中山</w:t>
            </w:r>
          </w:p>
        </w:tc>
        <w:tc>
          <w:tcPr>
            <w:tcW w:w="9780" w:type="dxa"/>
          </w:tcPr>
          <w:p w:rsidR="00A46CD6" w:rsidRPr="004535AF" w:rsidRDefault="00A46CD6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傳統優勢產業包括家電、服裝、電子、燈飾、家 具、五金製品等產業。</w:t>
            </w:r>
          </w:p>
        </w:tc>
      </w:tr>
      <w:tr w:rsidR="00A46CD6" w:rsidRPr="004535AF" w:rsidTr="00BC3205">
        <w:tc>
          <w:tcPr>
            <w:tcW w:w="2411" w:type="dxa"/>
            <w:vMerge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江門</w:t>
            </w:r>
          </w:p>
        </w:tc>
        <w:tc>
          <w:tcPr>
            <w:tcW w:w="9780" w:type="dxa"/>
          </w:tcPr>
          <w:p w:rsidR="00A46CD6" w:rsidRPr="004535AF" w:rsidRDefault="00A46CD6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傳統優勢產業包括紡織服裝、食品飲料、家具製造、建築材料、金屬製品、家用電器、造紙等產業。</w:t>
            </w:r>
          </w:p>
        </w:tc>
      </w:tr>
      <w:tr w:rsidR="00A46CD6" w:rsidRPr="004535AF" w:rsidTr="00BC3205">
        <w:tc>
          <w:tcPr>
            <w:tcW w:w="2411" w:type="dxa"/>
            <w:vMerge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澳門</w:t>
            </w:r>
          </w:p>
        </w:tc>
        <w:tc>
          <w:tcPr>
            <w:tcW w:w="9780" w:type="dxa"/>
          </w:tcPr>
          <w:p w:rsidR="00A46CD6" w:rsidRPr="004535AF" w:rsidRDefault="00A46CD6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世界旅遊休閒中心，以及中國與葡語國家商貿合作服務平台。</w:t>
            </w:r>
          </w:p>
        </w:tc>
      </w:tr>
      <w:tr w:rsidR="00A46CD6" w:rsidRPr="004535AF" w:rsidTr="00BC3205">
        <w:tc>
          <w:tcPr>
            <w:tcW w:w="2411" w:type="dxa"/>
            <w:vMerge w:val="restart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  <w:p w:rsidR="0084080E" w:rsidRDefault="0084080E" w:rsidP="00F17251">
            <w:pPr>
              <w:snapToGrid w:val="0"/>
              <w:contextualSpacing/>
              <w:rPr>
                <w:rFonts w:ascii="標楷體" w:eastAsia="標楷體" w:hAnsi="標楷體"/>
              </w:rPr>
            </w:pPr>
          </w:p>
          <w:p w:rsidR="00BC3205" w:rsidRDefault="00BC3205" w:rsidP="00F17251">
            <w:pPr>
              <w:snapToGrid w:val="0"/>
              <w:contextualSpacing/>
              <w:rPr>
                <w:rFonts w:ascii="標楷體" w:eastAsia="標楷體" w:hAnsi="標楷體"/>
              </w:rPr>
            </w:pPr>
          </w:p>
          <w:p w:rsidR="00BC3205" w:rsidRPr="004535AF" w:rsidRDefault="00BC3205" w:rsidP="00F17251">
            <w:pPr>
              <w:snapToGrid w:val="0"/>
              <w:contextualSpacing/>
              <w:rPr>
                <w:rFonts w:ascii="標楷體" w:eastAsia="標楷體" w:hAnsi="標楷體"/>
              </w:rPr>
            </w:pPr>
          </w:p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北部</w:t>
            </w:r>
          </w:p>
        </w:tc>
        <w:tc>
          <w:tcPr>
            <w:tcW w:w="992" w:type="dxa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廣州</w:t>
            </w:r>
          </w:p>
        </w:tc>
        <w:tc>
          <w:tcPr>
            <w:tcW w:w="9780" w:type="dxa"/>
          </w:tcPr>
          <w:p w:rsidR="00A46CD6" w:rsidRPr="004535AF" w:rsidRDefault="00A46CD6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產業發展以汽車、電子、石化、電力熱力、電器機械、通用專用設備、大型運輸及航天設備、醫藥八大行業為主。</w:t>
            </w:r>
          </w:p>
        </w:tc>
      </w:tr>
      <w:tr w:rsidR="00A46CD6" w:rsidRPr="004535AF" w:rsidTr="00BC3205">
        <w:tc>
          <w:tcPr>
            <w:tcW w:w="2411" w:type="dxa"/>
            <w:vMerge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佛山</w:t>
            </w:r>
          </w:p>
        </w:tc>
        <w:tc>
          <w:tcPr>
            <w:tcW w:w="9780" w:type="dxa"/>
          </w:tcPr>
          <w:p w:rsidR="00A46CD6" w:rsidRPr="004535AF" w:rsidRDefault="00A46CD6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產品包括家用電器，電子、紡織、塑料、皮革、食品、陶瓷、服裝、印刷、建材、鑄造與機械等，以輕工業為主。佛山於2015年成為國家製造業轉型升級綜合改革試點，發展機械裝備、家用電器、紡織服裝、食品飲料等產業。近年亦發展高新技術產業，包括高端新型電子信息、節能環保、新能源汽車等。</w:t>
            </w:r>
          </w:p>
        </w:tc>
      </w:tr>
      <w:tr w:rsidR="00A46CD6" w:rsidRPr="004535AF" w:rsidTr="00BC3205">
        <w:tc>
          <w:tcPr>
            <w:tcW w:w="2411" w:type="dxa"/>
            <w:vMerge/>
          </w:tcPr>
          <w:p w:rsidR="00A46CD6" w:rsidRPr="004535AF" w:rsidRDefault="00A46CD6" w:rsidP="00F17251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A46CD6" w:rsidRPr="004535AF" w:rsidRDefault="00A46CD6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肇慶</w:t>
            </w:r>
          </w:p>
        </w:tc>
        <w:tc>
          <w:tcPr>
            <w:tcW w:w="9780" w:type="dxa"/>
          </w:tcPr>
          <w:p w:rsidR="00A46CD6" w:rsidRPr="004535AF" w:rsidRDefault="00A46CD6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肇慶有六大傳統產業，包括紡織服裝、食品飲料、家具、建材、金屬製品及家電。</w:t>
            </w:r>
          </w:p>
        </w:tc>
      </w:tr>
    </w:tbl>
    <w:p w:rsidR="00A46CD6" w:rsidRPr="00E03DEE" w:rsidRDefault="00A46CD6" w:rsidP="00F17251">
      <w:pPr>
        <w:snapToGrid w:val="0"/>
        <w:contextualSpacing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A46CD6" w:rsidRPr="006A6D27" w:rsidRDefault="006E7657" w:rsidP="00F17251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6E7657">
        <w:rPr>
          <w:rFonts w:ascii="標楷體" w:eastAsia="標楷體" w:hAnsi="標楷體" w:hint="eastAsia"/>
          <w:b/>
          <w:sz w:val="28"/>
          <w:szCs w:val="28"/>
        </w:rPr>
        <w:t>資料</w:t>
      </w:r>
      <w:r w:rsidR="001330C4">
        <w:rPr>
          <w:rFonts w:ascii="標楷體" w:eastAsia="標楷體" w:hAnsi="標楷體" w:hint="eastAsia"/>
          <w:b/>
          <w:sz w:val="28"/>
          <w:szCs w:val="28"/>
          <w:lang w:eastAsia="zh-HK"/>
        </w:rPr>
        <w:t>來</w:t>
      </w:r>
      <w:r w:rsidR="001330C4">
        <w:rPr>
          <w:rFonts w:ascii="標楷體" w:eastAsia="標楷體" w:hAnsi="標楷體" w:hint="eastAsia"/>
          <w:b/>
          <w:sz w:val="28"/>
          <w:szCs w:val="28"/>
        </w:rPr>
        <w:t>源</w:t>
      </w:r>
    </w:p>
    <w:p w:rsidR="00A46CD6" w:rsidRPr="00701354" w:rsidRDefault="00A46CD6" w:rsidP="00F17251">
      <w:pPr>
        <w:snapToGrid w:val="0"/>
        <w:contextualSpacing/>
      </w:pPr>
    </w:p>
    <w:p w:rsidR="00A46CD6" w:rsidRPr="00AD7097" w:rsidRDefault="006A6D27" w:rsidP="00AD7097">
      <w:pPr>
        <w:pStyle w:val="a3"/>
        <w:numPr>
          <w:ilvl w:val="0"/>
          <w:numId w:val="8"/>
        </w:numPr>
        <w:snapToGrid w:val="0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AD7097">
        <w:rPr>
          <w:rFonts w:ascii="標楷體" w:eastAsia="標楷體" w:hAnsi="標楷體" w:hint="eastAsia"/>
          <w:sz w:val="28"/>
          <w:szCs w:val="28"/>
        </w:rPr>
        <w:t>香港貿易發展局：《中國內地省市簡介》，網址：</w:t>
      </w:r>
      <w:hyperlink r:id="rId11" w:history="1">
        <w:r w:rsidRPr="00AD7097">
          <w:rPr>
            <w:rStyle w:val="aa"/>
            <w:rFonts w:ascii="標楷體" w:eastAsia="標楷體" w:hAnsi="標楷體" w:hint="eastAsia"/>
            <w:sz w:val="28"/>
            <w:szCs w:val="28"/>
          </w:rPr>
          <w:t>https://research.hktdc.com/tc/data-and-profiles/mcpc</w:t>
        </w:r>
      </w:hyperlink>
      <w:r w:rsidRPr="00AD7097">
        <w:rPr>
          <w:rFonts w:ascii="標楷體" w:eastAsia="標楷體" w:hAnsi="標楷體" w:hint="eastAsia"/>
          <w:sz w:val="28"/>
          <w:szCs w:val="28"/>
        </w:rPr>
        <w:t>。</w:t>
      </w:r>
    </w:p>
    <w:p w:rsidR="00A46CD6" w:rsidRPr="00701354" w:rsidRDefault="00A46CD6" w:rsidP="00F17251">
      <w:pPr>
        <w:snapToGrid w:val="0"/>
        <w:contextualSpacing/>
      </w:pPr>
    </w:p>
    <w:p w:rsidR="00A46CD6" w:rsidRPr="00701354" w:rsidRDefault="00A46CD6" w:rsidP="00F17251">
      <w:pPr>
        <w:snapToGrid w:val="0"/>
        <w:contextualSpacing/>
      </w:pPr>
      <w:r w:rsidRPr="00701354">
        <w:br w:type="page"/>
      </w:r>
    </w:p>
    <w:p w:rsidR="001C0FD5" w:rsidRPr="004535AF" w:rsidRDefault="001C0FD5" w:rsidP="00F17251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4535AF">
        <w:rPr>
          <w:rFonts w:ascii="標楷體" w:eastAsia="標楷體" w:hAnsi="標楷體" w:hint="eastAsia"/>
          <w:b/>
          <w:sz w:val="28"/>
          <w:szCs w:val="28"/>
        </w:rPr>
        <w:lastRenderedPageBreak/>
        <w:t>(B)</w:t>
      </w:r>
      <w:r w:rsidRPr="004535AF">
        <w:rPr>
          <w:rFonts w:ascii="標楷體" w:eastAsia="標楷體" w:hAnsi="標楷體"/>
          <w:b/>
          <w:sz w:val="28"/>
          <w:szCs w:val="28"/>
        </w:rPr>
        <w:t xml:space="preserve"> </w:t>
      </w:r>
      <w:r w:rsidRPr="004535AF">
        <w:rPr>
          <w:rFonts w:ascii="標楷體" w:eastAsia="標楷體" w:hAnsi="標楷體" w:hint="eastAsia"/>
          <w:b/>
          <w:sz w:val="28"/>
          <w:szCs w:val="28"/>
        </w:rPr>
        <w:t>「一帶一路」經貿合作區的資料概要</w:t>
      </w:r>
    </w:p>
    <w:p w:rsidR="001C0FD5" w:rsidRPr="004535AF" w:rsidRDefault="001C0FD5" w:rsidP="00F17251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4535AF">
        <w:rPr>
          <w:rFonts w:ascii="標楷體" w:eastAsia="標楷體" w:hAnsi="標楷體" w:hint="eastAsia"/>
          <w:sz w:val="28"/>
          <w:szCs w:val="28"/>
        </w:rPr>
        <w:t>根據香港貿易發展局的資料，中國在「一帶一路」國家設立的若干經貿合作區，或適合香港的玩具業、電子及電器業、成衣業及鞋業發展業務。請參閱以下其中五個位於東南亞國家的「一帶一路」經貿合作區的資料概要。</w:t>
      </w:r>
    </w:p>
    <w:p w:rsidR="001C0FD5" w:rsidRPr="004535AF" w:rsidRDefault="001C0FD5" w:rsidP="00F17251">
      <w:pPr>
        <w:snapToGrid w:val="0"/>
        <w:contextualSpacing/>
        <w:rPr>
          <w:rFonts w:ascii="標楷體" w:eastAsia="標楷體" w:hAnsi="標楷體"/>
        </w:rPr>
      </w:pPr>
    </w:p>
    <w:p w:rsidR="001C0FD5" w:rsidRPr="004535AF" w:rsidRDefault="001C0FD5" w:rsidP="00F17251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4535AF">
        <w:rPr>
          <w:rFonts w:ascii="標楷體" w:eastAsia="標楷體" w:hAnsi="標楷體" w:hint="eastAsia"/>
          <w:b/>
          <w:sz w:val="28"/>
          <w:szCs w:val="28"/>
        </w:rPr>
        <w:t>資料概要</w:t>
      </w:r>
    </w:p>
    <w:tbl>
      <w:tblPr>
        <w:tblStyle w:val="ab"/>
        <w:tblW w:w="13325" w:type="dxa"/>
        <w:tblInd w:w="-5" w:type="dxa"/>
        <w:tblLook w:val="04A0" w:firstRow="1" w:lastRow="0" w:firstColumn="1" w:lastColumn="0" w:noHBand="0" w:noVBand="1"/>
      </w:tblPr>
      <w:tblGrid>
        <w:gridCol w:w="1134"/>
        <w:gridCol w:w="2438"/>
        <w:gridCol w:w="2438"/>
        <w:gridCol w:w="2438"/>
        <w:gridCol w:w="2438"/>
        <w:gridCol w:w="2439"/>
      </w:tblGrid>
      <w:tr w:rsidR="001C0FD5" w:rsidRPr="004535AF" w:rsidTr="00F17251">
        <w:tc>
          <w:tcPr>
            <w:tcW w:w="1134" w:type="dxa"/>
          </w:tcPr>
          <w:p w:rsidR="001C0FD5" w:rsidRPr="004535AF" w:rsidRDefault="001C0FD5" w:rsidP="00F17251">
            <w:pPr>
              <w:snapToGrid w:val="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</w:tcPr>
          <w:p w:rsidR="001C0FD5" w:rsidRPr="00834B79" w:rsidRDefault="001C0FD5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4B79">
              <w:rPr>
                <w:rFonts w:ascii="標楷體" w:eastAsia="標楷體" w:hAnsi="標楷體" w:hint="eastAsia"/>
                <w:b/>
                <w:sz w:val="28"/>
                <w:szCs w:val="28"/>
              </w:rPr>
              <w:t>中國‧印尼經貿合作區</w:t>
            </w:r>
          </w:p>
        </w:tc>
        <w:tc>
          <w:tcPr>
            <w:tcW w:w="2438" w:type="dxa"/>
          </w:tcPr>
          <w:p w:rsidR="001C0FD5" w:rsidRPr="00834B79" w:rsidRDefault="001C0FD5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4B79">
              <w:rPr>
                <w:rFonts w:ascii="標楷體" w:eastAsia="標楷體" w:hAnsi="標楷體" w:hint="eastAsia"/>
                <w:b/>
                <w:sz w:val="28"/>
                <w:szCs w:val="28"/>
              </w:rPr>
              <w:t>華夏幸福印尼卡拉旺產業園</w:t>
            </w:r>
          </w:p>
        </w:tc>
        <w:tc>
          <w:tcPr>
            <w:tcW w:w="2438" w:type="dxa"/>
          </w:tcPr>
          <w:p w:rsidR="001C0FD5" w:rsidRPr="00834B79" w:rsidRDefault="001C0FD5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4B79">
              <w:rPr>
                <w:rFonts w:ascii="標楷體" w:eastAsia="標楷體" w:hAnsi="標楷體" w:hint="eastAsia"/>
                <w:b/>
                <w:sz w:val="28"/>
                <w:szCs w:val="28"/>
              </w:rPr>
              <w:t>泰國泰中羅勇工業園</w:t>
            </w:r>
          </w:p>
        </w:tc>
        <w:tc>
          <w:tcPr>
            <w:tcW w:w="2438" w:type="dxa"/>
          </w:tcPr>
          <w:p w:rsidR="001C0FD5" w:rsidRPr="00834B79" w:rsidRDefault="001C0FD5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4B79">
              <w:rPr>
                <w:rFonts w:ascii="標楷體" w:eastAsia="標楷體" w:hAnsi="標楷體" w:hint="eastAsia"/>
                <w:b/>
                <w:sz w:val="28"/>
                <w:szCs w:val="28"/>
              </w:rPr>
              <w:t>柬埔寨西哈努克港經濟特區</w:t>
            </w:r>
          </w:p>
        </w:tc>
        <w:tc>
          <w:tcPr>
            <w:tcW w:w="2439" w:type="dxa"/>
          </w:tcPr>
          <w:p w:rsidR="001C0FD5" w:rsidRPr="00834B79" w:rsidRDefault="001C0FD5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4B79">
              <w:rPr>
                <w:rFonts w:ascii="標楷體" w:eastAsia="標楷體" w:hAnsi="標楷體" w:hint="eastAsia"/>
                <w:b/>
                <w:sz w:val="28"/>
                <w:szCs w:val="28"/>
              </w:rPr>
              <w:t>馬來西亞 - 中國關丹產業園</w:t>
            </w:r>
          </w:p>
        </w:tc>
      </w:tr>
      <w:tr w:rsidR="001C0FD5" w:rsidRPr="004535AF" w:rsidTr="00F17251">
        <w:tc>
          <w:tcPr>
            <w:tcW w:w="1134" w:type="dxa"/>
          </w:tcPr>
          <w:p w:rsidR="006B5763" w:rsidRDefault="006B5763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C0FD5" w:rsidRPr="004535AF" w:rsidRDefault="001C0FD5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位置</w:t>
            </w:r>
          </w:p>
        </w:tc>
        <w:tc>
          <w:tcPr>
            <w:tcW w:w="2438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印度尼西亞首都雅加達東部的工業長廊</w:t>
            </w:r>
          </w:p>
        </w:tc>
        <w:tc>
          <w:tcPr>
            <w:tcW w:w="2438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印尼首都雅加達東部的勿加泗</w:t>
            </w:r>
            <w:r w:rsidRPr="004535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- 卡拉旺走廊中心位置</w:t>
            </w:r>
          </w:p>
        </w:tc>
        <w:tc>
          <w:tcPr>
            <w:tcW w:w="2438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泰國東部海岸</w:t>
            </w:r>
          </w:p>
        </w:tc>
        <w:tc>
          <w:tcPr>
            <w:tcW w:w="2438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緊鄰柬埔寨四號國道</w:t>
            </w:r>
          </w:p>
        </w:tc>
        <w:tc>
          <w:tcPr>
            <w:tcW w:w="2439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馬來西亞東海岸經濟特區的彭亨州首府關丹市</w:t>
            </w:r>
          </w:p>
        </w:tc>
      </w:tr>
      <w:tr w:rsidR="001C0FD5" w:rsidRPr="004535AF" w:rsidTr="00F17251">
        <w:tc>
          <w:tcPr>
            <w:tcW w:w="1134" w:type="dxa"/>
          </w:tcPr>
          <w:p w:rsidR="001C0FD5" w:rsidRPr="004535AF" w:rsidRDefault="001C0FD5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與主要交通樞紐的距離</w:t>
            </w:r>
          </w:p>
        </w:tc>
        <w:tc>
          <w:tcPr>
            <w:tcW w:w="2438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距離蘇加諾國際機場65公里，距離雅加達國際港口 - 丹戎不碌港50公里</w:t>
            </w:r>
          </w:p>
        </w:tc>
        <w:tc>
          <w:tcPr>
            <w:tcW w:w="2438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距離蘇加諾國際機場70公里，距離雅加達國際港口 - 丹戎不碌港50公里</w:t>
            </w:r>
          </w:p>
        </w:tc>
        <w:tc>
          <w:tcPr>
            <w:tcW w:w="2438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距曼谷市區114公里，距芭堤雅市36公里；距廉差邦深水港27公里，距素萬那普國際機場99公里</w:t>
            </w:r>
          </w:p>
        </w:tc>
        <w:tc>
          <w:tcPr>
            <w:tcW w:w="2438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距離西哈努克國際深水港及火車站12公里、西港國際機場僅3公里</w:t>
            </w:r>
          </w:p>
        </w:tc>
        <w:tc>
          <w:tcPr>
            <w:tcW w:w="2439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距離關丹港口4公里，距離關丹機場36公里</w:t>
            </w:r>
          </w:p>
        </w:tc>
      </w:tr>
      <w:tr w:rsidR="001C0FD5" w:rsidRPr="004535AF" w:rsidTr="00F17251">
        <w:tc>
          <w:tcPr>
            <w:tcW w:w="1134" w:type="dxa"/>
          </w:tcPr>
          <w:p w:rsidR="006B5763" w:rsidRDefault="006B5763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C0FD5" w:rsidRPr="004535AF" w:rsidRDefault="001C0FD5" w:rsidP="00F1725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優惠措施</w:t>
            </w:r>
          </w:p>
        </w:tc>
        <w:tc>
          <w:tcPr>
            <w:tcW w:w="2438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減免所得稅，無政府外匯管制，外資可自由匯出等</w:t>
            </w:r>
          </w:p>
        </w:tc>
        <w:tc>
          <w:tcPr>
            <w:tcW w:w="2438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豁免企業所得稅等</w:t>
            </w:r>
          </w:p>
        </w:tc>
        <w:tc>
          <w:tcPr>
            <w:tcW w:w="2438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豁免企業所得稅、進口機器關稅等</w:t>
            </w:r>
          </w:p>
        </w:tc>
        <w:tc>
          <w:tcPr>
            <w:tcW w:w="2438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豁免關稅及提供免稅期等</w:t>
            </w:r>
          </w:p>
        </w:tc>
        <w:tc>
          <w:tcPr>
            <w:tcW w:w="2439" w:type="dxa"/>
          </w:tcPr>
          <w:p w:rsidR="001C0FD5" w:rsidRPr="004535AF" w:rsidRDefault="001C0FD5" w:rsidP="00F17251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35AF">
              <w:rPr>
                <w:rFonts w:ascii="標楷體" w:eastAsia="標楷體" w:hAnsi="標楷體" w:hint="eastAsia"/>
                <w:sz w:val="28"/>
                <w:szCs w:val="28"/>
              </w:rPr>
              <w:t>豁免企業所得稅、用於發展的土地或建築物的轉讓或租賃免徵印花稅等</w:t>
            </w:r>
          </w:p>
        </w:tc>
      </w:tr>
    </w:tbl>
    <w:p w:rsidR="00B2482F" w:rsidRDefault="00B2482F" w:rsidP="00F17251">
      <w:pPr>
        <w:snapToGrid w:val="0"/>
        <w:contextualSpacing/>
        <w:rPr>
          <w:rFonts w:ascii="標楷體" w:eastAsia="標楷體" w:hAnsi="標楷體" w:cs="Times New Roman"/>
          <w:sz w:val="28"/>
          <w:szCs w:val="28"/>
        </w:rPr>
      </w:pPr>
    </w:p>
    <w:p w:rsidR="001330C4" w:rsidRPr="006A6D27" w:rsidRDefault="001330C4" w:rsidP="001330C4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6E7657">
        <w:rPr>
          <w:rFonts w:ascii="標楷體" w:eastAsia="標楷體" w:hAnsi="標楷體" w:hint="eastAsia"/>
          <w:b/>
          <w:sz w:val="28"/>
          <w:szCs w:val="28"/>
        </w:rPr>
        <w:lastRenderedPageBreak/>
        <w:t>資料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來</w:t>
      </w:r>
      <w:r>
        <w:rPr>
          <w:rFonts w:ascii="標楷體" w:eastAsia="標楷體" w:hAnsi="標楷體" w:hint="eastAsia"/>
          <w:b/>
          <w:sz w:val="28"/>
          <w:szCs w:val="28"/>
        </w:rPr>
        <w:t>源</w:t>
      </w:r>
    </w:p>
    <w:p w:rsidR="00FA130C" w:rsidRDefault="00FA130C" w:rsidP="00F17251">
      <w:pPr>
        <w:snapToGrid w:val="0"/>
        <w:contextualSpacing/>
        <w:rPr>
          <w:rFonts w:ascii="標楷體" w:eastAsia="標楷體" w:hAnsi="標楷體" w:cs="Times New Roman"/>
          <w:szCs w:val="24"/>
        </w:rPr>
      </w:pPr>
    </w:p>
    <w:p w:rsidR="00FA130C" w:rsidRPr="00AD7097" w:rsidRDefault="00FA130C" w:rsidP="00AD7097">
      <w:pPr>
        <w:pStyle w:val="a3"/>
        <w:numPr>
          <w:ilvl w:val="0"/>
          <w:numId w:val="9"/>
        </w:numPr>
        <w:snapToGrid w:val="0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AD7097">
        <w:rPr>
          <w:rFonts w:ascii="標楷體" w:eastAsia="標楷體" w:hAnsi="標楷體" w:hint="eastAsia"/>
          <w:sz w:val="28"/>
          <w:szCs w:val="28"/>
        </w:rPr>
        <w:t>香港貿易發展局：《「一帶一路」境外經貿合作區》，網址：</w:t>
      </w:r>
      <w:hyperlink r:id="rId12" w:history="1">
        <w:r w:rsidRPr="00AD7097">
          <w:rPr>
            <w:rStyle w:val="aa"/>
            <w:rFonts w:ascii="標楷體" w:eastAsia="標楷體" w:hAnsi="標楷體"/>
            <w:sz w:val="28"/>
            <w:szCs w:val="28"/>
          </w:rPr>
          <w:t>https://beltandroad.hktdc.com/tc/sme-corner/industrial-park</w:t>
        </w:r>
      </w:hyperlink>
      <w:r w:rsidRPr="00AD7097">
        <w:rPr>
          <w:rFonts w:ascii="標楷體" w:eastAsia="標楷體" w:hAnsi="標楷體" w:hint="eastAsia"/>
          <w:sz w:val="28"/>
          <w:szCs w:val="28"/>
        </w:rPr>
        <w:t>。</w:t>
      </w:r>
    </w:p>
    <w:p w:rsidR="00AD7097" w:rsidRDefault="00AD7097" w:rsidP="00F17251">
      <w:pPr>
        <w:snapToGrid w:val="0"/>
        <w:contextualSpacing/>
        <w:rPr>
          <w:rFonts w:ascii="標楷體" w:eastAsia="標楷體" w:hAnsi="標楷體"/>
          <w:sz w:val="28"/>
          <w:szCs w:val="28"/>
        </w:rPr>
      </w:pPr>
    </w:p>
    <w:p w:rsidR="00FA130C" w:rsidRPr="00FA130C" w:rsidRDefault="00FA130C" w:rsidP="00F17251">
      <w:pPr>
        <w:snapToGrid w:val="0"/>
        <w:contextualSpacing/>
        <w:rPr>
          <w:rFonts w:ascii="標楷體" w:eastAsia="標楷體" w:hAnsi="標楷體" w:cs="Times New Roman"/>
          <w:szCs w:val="24"/>
        </w:rPr>
      </w:pPr>
    </w:p>
    <w:sectPr w:rsidR="00FA130C" w:rsidRPr="00FA130C" w:rsidSect="00DC76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ED" w:rsidRDefault="007C26ED" w:rsidP="00C22CE0">
      <w:r>
        <w:separator/>
      </w:r>
    </w:p>
  </w:endnote>
  <w:endnote w:type="continuationSeparator" w:id="0">
    <w:p w:rsidR="007C26ED" w:rsidRDefault="007C26ED" w:rsidP="00C2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842651"/>
      <w:docPartObj>
        <w:docPartGallery w:val="Page Numbers (Bottom of Page)"/>
        <w:docPartUnique/>
      </w:docPartObj>
    </w:sdtPr>
    <w:sdtEndPr/>
    <w:sdtContent>
      <w:p w:rsidR="001C0FD5" w:rsidRDefault="001C0F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EE" w:rsidRPr="00E03DEE">
          <w:rPr>
            <w:noProof/>
            <w:lang w:val="zh-TW"/>
          </w:rPr>
          <w:t>3</w:t>
        </w:r>
        <w:r>
          <w:fldChar w:fldCharType="end"/>
        </w:r>
      </w:p>
    </w:sdtContent>
  </w:sdt>
  <w:p w:rsidR="001C0FD5" w:rsidRDefault="001C0F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D5" w:rsidRDefault="001C0F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292388"/>
      <w:docPartObj>
        <w:docPartGallery w:val="Page Numbers (Bottom of Page)"/>
        <w:docPartUnique/>
      </w:docPartObj>
    </w:sdtPr>
    <w:sdtEndPr/>
    <w:sdtContent>
      <w:p w:rsidR="00C22CE0" w:rsidRDefault="00C22C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EE" w:rsidRPr="00E03DEE">
          <w:rPr>
            <w:noProof/>
            <w:lang w:val="zh-TW"/>
          </w:rPr>
          <w:t>7</w:t>
        </w:r>
        <w:r>
          <w:fldChar w:fldCharType="end"/>
        </w:r>
      </w:p>
    </w:sdtContent>
  </w:sdt>
  <w:p w:rsidR="00C22CE0" w:rsidRDefault="00C22CE0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D5" w:rsidRDefault="001C0F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ED" w:rsidRDefault="007C26ED" w:rsidP="00C22CE0">
      <w:r>
        <w:separator/>
      </w:r>
    </w:p>
  </w:footnote>
  <w:footnote w:type="continuationSeparator" w:id="0">
    <w:p w:rsidR="007C26ED" w:rsidRDefault="007C26ED" w:rsidP="00C2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D5" w:rsidRDefault="001C0F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8C" w:rsidRPr="008524ED" w:rsidRDefault="00141C8C" w:rsidP="00141C8C">
    <w:pPr>
      <w:pStyle w:val="a4"/>
      <w:jc w:val="center"/>
      <w:rPr>
        <w:rFonts w:ascii="標楷體" w:eastAsia="標楷體" w:hAnsi="標楷體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D5" w:rsidRDefault="001C0F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0F66"/>
    <w:multiLevelType w:val="hybridMultilevel"/>
    <w:tmpl w:val="508A323C"/>
    <w:lvl w:ilvl="0" w:tplc="83CA8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210E0"/>
    <w:multiLevelType w:val="hybridMultilevel"/>
    <w:tmpl w:val="23E09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097EEA"/>
    <w:multiLevelType w:val="hybridMultilevel"/>
    <w:tmpl w:val="E70EB914"/>
    <w:lvl w:ilvl="0" w:tplc="754EB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F373C5"/>
    <w:multiLevelType w:val="hybridMultilevel"/>
    <w:tmpl w:val="EFBC92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5F019D"/>
    <w:multiLevelType w:val="hybridMultilevel"/>
    <w:tmpl w:val="140E9D5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84A238F"/>
    <w:multiLevelType w:val="hybridMultilevel"/>
    <w:tmpl w:val="DC54257A"/>
    <w:lvl w:ilvl="0" w:tplc="2658576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76D76"/>
    <w:multiLevelType w:val="hybridMultilevel"/>
    <w:tmpl w:val="4274EF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D804C3"/>
    <w:multiLevelType w:val="hybridMultilevel"/>
    <w:tmpl w:val="E79871C0"/>
    <w:lvl w:ilvl="0" w:tplc="79D212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03637F"/>
    <w:multiLevelType w:val="hybridMultilevel"/>
    <w:tmpl w:val="6C14A4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13"/>
    <w:rsid w:val="0003151C"/>
    <w:rsid w:val="0003278F"/>
    <w:rsid w:val="00037483"/>
    <w:rsid w:val="00043160"/>
    <w:rsid w:val="00066D0B"/>
    <w:rsid w:val="00076D40"/>
    <w:rsid w:val="0008059B"/>
    <w:rsid w:val="0008686E"/>
    <w:rsid w:val="0009521E"/>
    <w:rsid w:val="000A5D53"/>
    <w:rsid w:val="000B7FF6"/>
    <w:rsid w:val="000D4806"/>
    <w:rsid w:val="000E1EE6"/>
    <w:rsid w:val="000E375B"/>
    <w:rsid w:val="0010100B"/>
    <w:rsid w:val="00121A32"/>
    <w:rsid w:val="0012248C"/>
    <w:rsid w:val="0012536A"/>
    <w:rsid w:val="00125FE7"/>
    <w:rsid w:val="001330C4"/>
    <w:rsid w:val="00141C8C"/>
    <w:rsid w:val="00144D26"/>
    <w:rsid w:val="00144FE5"/>
    <w:rsid w:val="001553FC"/>
    <w:rsid w:val="001563F9"/>
    <w:rsid w:val="00160FBD"/>
    <w:rsid w:val="001659B6"/>
    <w:rsid w:val="00165BBA"/>
    <w:rsid w:val="00171D4F"/>
    <w:rsid w:val="00177665"/>
    <w:rsid w:val="001A5016"/>
    <w:rsid w:val="001C0FD5"/>
    <w:rsid w:val="001D1B60"/>
    <w:rsid w:val="001F3A89"/>
    <w:rsid w:val="00211C74"/>
    <w:rsid w:val="00220830"/>
    <w:rsid w:val="0023265E"/>
    <w:rsid w:val="002537C9"/>
    <w:rsid w:val="00263D76"/>
    <w:rsid w:val="00267CD7"/>
    <w:rsid w:val="00272939"/>
    <w:rsid w:val="002A3F5D"/>
    <w:rsid w:val="002A70CB"/>
    <w:rsid w:val="002C0EA5"/>
    <w:rsid w:val="002C6117"/>
    <w:rsid w:val="002E1915"/>
    <w:rsid w:val="002F09B9"/>
    <w:rsid w:val="002F2D4E"/>
    <w:rsid w:val="002F6829"/>
    <w:rsid w:val="00321F2A"/>
    <w:rsid w:val="00325AC1"/>
    <w:rsid w:val="00335B64"/>
    <w:rsid w:val="00351875"/>
    <w:rsid w:val="00356FDE"/>
    <w:rsid w:val="00364E73"/>
    <w:rsid w:val="00370570"/>
    <w:rsid w:val="00373BC0"/>
    <w:rsid w:val="00374752"/>
    <w:rsid w:val="00376DEB"/>
    <w:rsid w:val="003A01D5"/>
    <w:rsid w:val="003A2AAD"/>
    <w:rsid w:val="003C0610"/>
    <w:rsid w:val="003C3B2C"/>
    <w:rsid w:val="003D339F"/>
    <w:rsid w:val="00405B13"/>
    <w:rsid w:val="0041573A"/>
    <w:rsid w:val="00416971"/>
    <w:rsid w:val="0042587E"/>
    <w:rsid w:val="00431FB0"/>
    <w:rsid w:val="00434529"/>
    <w:rsid w:val="004400F4"/>
    <w:rsid w:val="00443BDE"/>
    <w:rsid w:val="00443EC0"/>
    <w:rsid w:val="00445ACC"/>
    <w:rsid w:val="0045204E"/>
    <w:rsid w:val="004535AF"/>
    <w:rsid w:val="0045609D"/>
    <w:rsid w:val="004634AD"/>
    <w:rsid w:val="00474CE4"/>
    <w:rsid w:val="0047669E"/>
    <w:rsid w:val="00494FAD"/>
    <w:rsid w:val="004956EF"/>
    <w:rsid w:val="00495F63"/>
    <w:rsid w:val="004A1335"/>
    <w:rsid w:val="004B16D3"/>
    <w:rsid w:val="004B213C"/>
    <w:rsid w:val="004B65DF"/>
    <w:rsid w:val="004E14A1"/>
    <w:rsid w:val="004F0DD7"/>
    <w:rsid w:val="004F59A1"/>
    <w:rsid w:val="004F66CF"/>
    <w:rsid w:val="0053150E"/>
    <w:rsid w:val="00541AD1"/>
    <w:rsid w:val="00544A32"/>
    <w:rsid w:val="00552207"/>
    <w:rsid w:val="00556146"/>
    <w:rsid w:val="00556641"/>
    <w:rsid w:val="005578B7"/>
    <w:rsid w:val="0056333C"/>
    <w:rsid w:val="00572B8F"/>
    <w:rsid w:val="00573566"/>
    <w:rsid w:val="00582044"/>
    <w:rsid w:val="005862CE"/>
    <w:rsid w:val="00586FA4"/>
    <w:rsid w:val="00590C9A"/>
    <w:rsid w:val="005A6A08"/>
    <w:rsid w:val="005A74FF"/>
    <w:rsid w:val="005B6A15"/>
    <w:rsid w:val="005B7E10"/>
    <w:rsid w:val="005C6E59"/>
    <w:rsid w:val="005D4215"/>
    <w:rsid w:val="005E1DD9"/>
    <w:rsid w:val="005E355D"/>
    <w:rsid w:val="00605B7D"/>
    <w:rsid w:val="00627C56"/>
    <w:rsid w:val="00635A35"/>
    <w:rsid w:val="00635FB5"/>
    <w:rsid w:val="00651C2C"/>
    <w:rsid w:val="006604EB"/>
    <w:rsid w:val="006630B0"/>
    <w:rsid w:val="0068013A"/>
    <w:rsid w:val="0069198A"/>
    <w:rsid w:val="006A12CF"/>
    <w:rsid w:val="006A4397"/>
    <w:rsid w:val="006A6D27"/>
    <w:rsid w:val="006B5763"/>
    <w:rsid w:val="006C7D1F"/>
    <w:rsid w:val="006E462E"/>
    <w:rsid w:val="006E7657"/>
    <w:rsid w:val="00701354"/>
    <w:rsid w:val="00704963"/>
    <w:rsid w:val="00707659"/>
    <w:rsid w:val="00720110"/>
    <w:rsid w:val="0072158A"/>
    <w:rsid w:val="00723361"/>
    <w:rsid w:val="00726002"/>
    <w:rsid w:val="00726A39"/>
    <w:rsid w:val="007305DA"/>
    <w:rsid w:val="00734777"/>
    <w:rsid w:val="007368E0"/>
    <w:rsid w:val="0075172F"/>
    <w:rsid w:val="007526EB"/>
    <w:rsid w:val="00756DBC"/>
    <w:rsid w:val="00757F4E"/>
    <w:rsid w:val="00775735"/>
    <w:rsid w:val="0077787D"/>
    <w:rsid w:val="00782971"/>
    <w:rsid w:val="00793527"/>
    <w:rsid w:val="00795D99"/>
    <w:rsid w:val="007B3C92"/>
    <w:rsid w:val="007C26ED"/>
    <w:rsid w:val="007C48AC"/>
    <w:rsid w:val="007D0116"/>
    <w:rsid w:val="007D0F3E"/>
    <w:rsid w:val="007F3176"/>
    <w:rsid w:val="007F615B"/>
    <w:rsid w:val="00800C1D"/>
    <w:rsid w:val="008021D9"/>
    <w:rsid w:val="00810B10"/>
    <w:rsid w:val="00834B79"/>
    <w:rsid w:val="0084080E"/>
    <w:rsid w:val="008446DA"/>
    <w:rsid w:val="00850C28"/>
    <w:rsid w:val="008524ED"/>
    <w:rsid w:val="00860649"/>
    <w:rsid w:val="00861168"/>
    <w:rsid w:val="00866EC7"/>
    <w:rsid w:val="008908D6"/>
    <w:rsid w:val="008B0292"/>
    <w:rsid w:val="008B684A"/>
    <w:rsid w:val="008B72A2"/>
    <w:rsid w:val="008D06BE"/>
    <w:rsid w:val="008E1F02"/>
    <w:rsid w:val="008E65B9"/>
    <w:rsid w:val="008F2D9F"/>
    <w:rsid w:val="00903ED9"/>
    <w:rsid w:val="009109F5"/>
    <w:rsid w:val="00923713"/>
    <w:rsid w:val="00930156"/>
    <w:rsid w:val="00963F6E"/>
    <w:rsid w:val="00985324"/>
    <w:rsid w:val="0099343D"/>
    <w:rsid w:val="009B0C28"/>
    <w:rsid w:val="009B7296"/>
    <w:rsid w:val="009C0597"/>
    <w:rsid w:val="009C4C0E"/>
    <w:rsid w:val="009F51E3"/>
    <w:rsid w:val="00A139C1"/>
    <w:rsid w:val="00A204A8"/>
    <w:rsid w:val="00A257A6"/>
    <w:rsid w:val="00A405E7"/>
    <w:rsid w:val="00A416C0"/>
    <w:rsid w:val="00A41F98"/>
    <w:rsid w:val="00A42EE9"/>
    <w:rsid w:val="00A442CC"/>
    <w:rsid w:val="00A44DE1"/>
    <w:rsid w:val="00A457A5"/>
    <w:rsid w:val="00A45FBE"/>
    <w:rsid w:val="00A46CD6"/>
    <w:rsid w:val="00A47510"/>
    <w:rsid w:val="00A53A13"/>
    <w:rsid w:val="00A85DF3"/>
    <w:rsid w:val="00A955A4"/>
    <w:rsid w:val="00AB24DC"/>
    <w:rsid w:val="00AC21AE"/>
    <w:rsid w:val="00AD2542"/>
    <w:rsid w:val="00AD7097"/>
    <w:rsid w:val="00AE4E3D"/>
    <w:rsid w:val="00AF632F"/>
    <w:rsid w:val="00B01C07"/>
    <w:rsid w:val="00B243F1"/>
    <w:rsid w:val="00B2482F"/>
    <w:rsid w:val="00B36339"/>
    <w:rsid w:val="00B445BA"/>
    <w:rsid w:val="00B62329"/>
    <w:rsid w:val="00B644B5"/>
    <w:rsid w:val="00B83EFD"/>
    <w:rsid w:val="00BB1C43"/>
    <w:rsid w:val="00BB2C97"/>
    <w:rsid w:val="00BC3205"/>
    <w:rsid w:val="00BE1882"/>
    <w:rsid w:val="00BE2346"/>
    <w:rsid w:val="00BE52B2"/>
    <w:rsid w:val="00BF1872"/>
    <w:rsid w:val="00BF348E"/>
    <w:rsid w:val="00C205E3"/>
    <w:rsid w:val="00C22CE0"/>
    <w:rsid w:val="00C2651F"/>
    <w:rsid w:val="00C34839"/>
    <w:rsid w:val="00C64B13"/>
    <w:rsid w:val="00C65032"/>
    <w:rsid w:val="00C91E2D"/>
    <w:rsid w:val="00CA189E"/>
    <w:rsid w:val="00CB052C"/>
    <w:rsid w:val="00CB5B85"/>
    <w:rsid w:val="00CC6EEE"/>
    <w:rsid w:val="00CE0411"/>
    <w:rsid w:val="00D1071D"/>
    <w:rsid w:val="00D12516"/>
    <w:rsid w:val="00D70099"/>
    <w:rsid w:val="00D70D74"/>
    <w:rsid w:val="00D7112C"/>
    <w:rsid w:val="00D7220E"/>
    <w:rsid w:val="00D72ED4"/>
    <w:rsid w:val="00D77163"/>
    <w:rsid w:val="00D9065B"/>
    <w:rsid w:val="00D96DAD"/>
    <w:rsid w:val="00DA6E1A"/>
    <w:rsid w:val="00DB5681"/>
    <w:rsid w:val="00DC1ADD"/>
    <w:rsid w:val="00DC7654"/>
    <w:rsid w:val="00DC76FF"/>
    <w:rsid w:val="00DE2516"/>
    <w:rsid w:val="00DE4130"/>
    <w:rsid w:val="00E00E0B"/>
    <w:rsid w:val="00E011D1"/>
    <w:rsid w:val="00E03DEE"/>
    <w:rsid w:val="00E174A7"/>
    <w:rsid w:val="00E24DF6"/>
    <w:rsid w:val="00E25A0D"/>
    <w:rsid w:val="00E270DF"/>
    <w:rsid w:val="00E3380B"/>
    <w:rsid w:val="00E45756"/>
    <w:rsid w:val="00E51D1F"/>
    <w:rsid w:val="00E539A1"/>
    <w:rsid w:val="00E60100"/>
    <w:rsid w:val="00E660C2"/>
    <w:rsid w:val="00E66F59"/>
    <w:rsid w:val="00E670C1"/>
    <w:rsid w:val="00E7331E"/>
    <w:rsid w:val="00E73334"/>
    <w:rsid w:val="00E74EE0"/>
    <w:rsid w:val="00E75FFA"/>
    <w:rsid w:val="00E77972"/>
    <w:rsid w:val="00E83BB8"/>
    <w:rsid w:val="00E91BEB"/>
    <w:rsid w:val="00E96545"/>
    <w:rsid w:val="00EA685F"/>
    <w:rsid w:val="00EC57D3"/>
    <w:rsid w:val="00EC610B"/>
    <w:rsid w:val="00EE14B3"/>
    <w:rsid w:val="00EF6AB0"/>
    <w:rsid w:val="00EF7644"/>
    <w:rsid w:val="00F00D0F"/>
    <w:rsid w:val="00F10379"/>
    <w:rsid w:val="00F1187D"/>
    <w:rsid w:val="00F17251"/>
    <w:rsid w:val="00F17899"/>
    <w:rsid w:val="00F246E0"/>
    <w:rsid w:val="00F323AC"/>
    <w:rsid w:val="00F326A8"/>
    <w:rsid w:val="00F424A7"/>
    <w:rsid w:val="00F4432F"/>
    <w:rsid w:val="00F44602"/>
    <w:rsid w:val="00F50191"/>
    <w:rsid w:val="00F50BD1"/>
    <w:rsid w:val="00F54AA6"/>
    <w:rsid w:val="00F65A9B"/>
    <w:rsid w:val="00F66658"/>
    <w:rsid w:val="00F671B1"/>
    <w:rsid w:val="00F91BE9"/>
    <w:rsid w:val="00F930EE"/>
    <w:rsid w:val="00FA130C"/>
    <w:rsid w:val="00FA2B06"/>
    <w:rsid w:val="00FA4C25"/>
    <w:rsid w:val="00F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992EAD-80CA-4E63-9F99-2D0E6775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2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2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2C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2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2CE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0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06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25AC1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C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FA1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_hkctc@itc.gov.hk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ltandroad.hktdc.com/tc/sme-corner/industrial-par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hktdc.com/tc/data-and-profiles/mcp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e.ho@itc.gov.h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8FF0-4459-466B-97A9-76EA50F8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user</dc:creator>
  <cp:keywords/>
  <dc:description/>
  <cp:lastModifiedBy>ITC user</cp:lastModifiedBy>
  <cp:revision>24</cp:revision>
  <cp:lastPrinted>2020-11-02T07:35:00Z</cp:lastPrinted>
  <dcterms:created xsi:type="dcterms:W3CDTF">2020-11-02T06:47:00Z</dcterms:created>
  <dcterms:modified xsi:type="dcterms:W3CDTF">2020-11-02T07:58:00Z</dcterms:modified>
</cp:coreProperties>
</file>